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7BE8" w14:textId="0A8EF458" w:rsidR="001D2779" w:rsidRPr="003A0195" w:rsidRDefault="00E757A4" w:rsidP="00E757A4">
      <w:pPr>
        <w:bidi/>
        <w:ind w:left="3540"/>
        <w:jc w:val="both"/>
        <w:rPr>
          <w:rFonts w:asciiTheme="majorBidi" w:hAnsiTheme="majorBidi" w:cstheme="majorBidi"/>
          <w:sz w:val="56"/>
          <w:szCs w:val="56"/>
          <w:u w:val="single"/>
          <w:rtl/>
        </w:rPr>
      </w:pPr>
      <w:r w:rsidRPr="003A0195">
        <w:rPr>
          <w:rFonts w:asciiTheme="majorBidi" w:hAnsiTheme="majorBidi" w:cstheme="majorBidi"/>
          <w:sz w:val="56"/>
          <w:szCs w:val="56"/>
          <w:u w:val="single"/>
          <w:rtl/>
        </w:rPr>
        <w:t>נבואה</w:t>
      </w:r>
    </w:p>
    <w:p w14:paraId="2940893F" w14:textId="2BDDEEFC" w:rsidR="00E757A4" w:rsidRPr="003A0195" w:rsidRDefault="00E757A4" w:rsidP="00E757A4">
      <w:pPr>
        <w:bidi/>
        <w:jc w:val="both"/>
        <w:rPr>
          <w:rFonts w:asciiTheme="majorBidi" w:hAnsiTheme="majorBidi" w:cstheme="majorBidi"/>
          <w:sz w:val="28"/>
          <w:szCs w:val="28"/>
          <w:rtl/>
        </w:rPr>
      </w:pPr>
    </w:p>
    <w:p w14:paraId="7C25FCC1" w14:textId="3D8834CD" w:rsidR="00E757A4" w:rsidRPr="003A0195" w:rsidRDefault="00E757A4" w:rsidP="00E757A4">
      <w:pPr>
        <w:bidi/>
        <w:jc w:val="both"/>
        <w:rPr>
          <w:rFonts w:asciiTheme="majorBidi" w:hAnsiTheme="majorBidi" w:cstheme="majorBidi"/>
          <w:sz w:val="28"/>
          <w:szCs w:val="28"/>
          <w:rtl/>
        </w:rPr>
      </w:pPr>
    </w:p>
    <w:p w14:paraId="2D5E6155" w14:textId="18C8D0F3" w:rsidR="00E757A4" w:rsidRPr="003A0195" w:rsidRDefault="00E757A4" w:rsidP="00E757A4">
      <w:pPr>
        <w:bidi/>
        <w:jc w:val="both"/>
        <w:rPr>
          <w:rFonts w:asciiTheme="majorBidi" w:hAnsiTheme="majorBidi" w:cstheme="majorBidi"/>
          <w:sz w:val="28"/>
          <w:szCs w:val="28"/>
          <w:rtl/>
        </w:rPr>
      </w:pPr>
    </w:p>
    <w:p w14:paraId="6B04B04C" w14:textId="0405BF70" w:rsidR="00E757A4" w:rsidRPr="003A0195" w:rsidRDefault="00E757A4" w:rsidP="00E757A4">
      <w:pPr>
        <w:bidi/>
        <w:jc w:val="both"/>
        <w:rPr>
          <w:rFonts w:asciiTheme="majorBidi" w:hAnsiTheme="majorBidi" w:cstheme="majorBidi"/>
          <w:sz w:val="36"/>
          <w:szCs w:val="36"/>
          <w:u w:val="single"/>
          <w:rtl/>
        </w:rPr>
      </w:pPr>
      <w:r w:rsidRPr="003A0195">
        <w:rPr>
          <w:rFonts w:asciiTheme="majorBidi" w:hAnsiTheme="majorBidi" w:cstheme="majorBidi"/>
          <w:sz w:val="36"/>
          <w:szCs w:val="36"/>
          <w:u w:val="single"/>
          <w:rtl/>
        </w:rPr>
        <w:t>לפעמים יש נבואה בחו''ל</w:t>
      </w:r>
    </w:p>
    <w:p w14:paraId="3AD5F1A0" w14:textId="10079EED" w:rsidR="00E757A4" w:rsidRPr="003A0195" w:rsidRDefault="00E757A4" w:rsidP="00E757A4">
      <w:pPr>
        <w:bidi/>
        <w:jc w:val="both"/>
        <w:rPr>
          <w:rFonts w:asciiTheme="majorBidi" w:hAnsiTheme="majorBidi" w:cstheme="majorBidi"/>
          <w:sz w:val="28"/>
          <w:szCs w:val="28"/>
          <w:rtl/>
        </w:rPr>
      </w:pPr>
      <w:r w:rsidRPr="003A0195">
        <w:rPr>
          <w:rFonts w:asciiTheme="majorBidi" w:hAnsiTheme="majorBidi" w:cstheme="majorBidi"/>
          <w:sz w:val="28"/>
          <w:szCs w:val="28"/>
          <w:rtl/>
        </w:rPr>
        <w:t xml:space="preserve">והנה אע''פ שאין נבואה בחו''ל כמבואר בכמה מקומות בש''ס, מ''מ מהגמ' </w:t>
      </w:r>
      <w:r w:rsidRPr="003A0195">
        <w:rPr>
          <w:rFonts w:asciiTheme="majorBidi" w:hAnsiTheme="majorBidi" w:cstheme="majorBidi"/>
          <w:b/>
          <w:bCs/>
          <w:sz w:val="28"/>
          <w:szCs w:val="28"/>
          <w:rtl/>
        </w:rPr>
        <w:t>במ''ק</w:t>
      </w:r>
      <w:r w:rsidRPr="003A0195">
        <w:rPr>
          <w:rFonts w:asciiTheme="majorBidi" w:hAnsiTheme="majorBidi" w:cstheme="majorBidi"/>
          <w:sz w:val="28"/>
          <w:szCs w:val="28"/>
          <w:rtl/>
        </w:rPr>
        <w:t xml:space="preserve"> </w:t>
      </w:r>
      <w:r w:rsidRPr="003A0195">
        <w:rPr>
          <w:rFonts w:asciiTheme="majorBidi" w:hAnsiTheme="majorBidi" w:cstheme="majorBidi"/>
          <w:sz w:val="24"/>
          <w:szCs w:val="24"/>
          <w:rtl/>
        </w:rPr>
        <w:t xml:space="preserve">(דף כה.) </w:t>
      </w:r>
      <w:r w:rsidRPr="003A0195">
        <w:rPr>
          <w:rFonts w:asciiTheme="majorBidi" w:hAnsiTheme="majorBidi" w:cstheme="majorBidi"/>
          <w:sz w:val="28"/>
          <w:szCs w:val="28"/>
          <w:rtl/>
        </w:rPr>
        <w:t>משמע שאם היה לו נבואה בישראל אז אפשר שיהיה לו גם בחו''ל, דהכי איתא התם ''פתח עליה רבי אבא ראוי היה רבינו שתשרה עליו שכינה אלא שבבל גרמה ליה מתיב רב נחמן בר חסדא ואמרי לה רב חנן בר חסדא היה היה דבר ה' אל יחזקאל בן בוזי הכהן בארץ כשדים טפח ליה אבוה בסנדליה א''ל לאו אמינא לך לא תיטרוד עלמא מאי היה שהיה כבר''.</w:t>
      </w:r>
    </w:p>
    <w:p w14:paraId="2019B1B1" w14:textId="4DE48C45" w:rsidR="00E757A4" w:rsidRDefault="00E757A4" w:rsidP="00E757A4">
      <w:pPr>
        <w:bidi/>
        <w:jc w:val="both"/>
        <w:rPr>
          <w:rFonts w:asciiTheme="majorBidi" w:hAnsiTheme="majorBidi" w:cstheme="majorBidi"/>
          <w:sz w:val="28"/>
          <w:szCs w:val="28"/>
          <w:rtl/>
        </w:rPr>
      </w:pPr>
      <w:r w:rsidRPr="003A0195">
        <w:rPr>
          <w:rFonts w:asciiTheme="majorBidi" w:hAnsiTheme="majorBidi" w:cstheme="majorBidi"/>
          <w:b/>
          <w:bCs/>
          <w:sz w:val="28"/>
          <w:szCs w:val="28"/>
          <w:rtl/>
        </w:rPr>
        <w:t>ורש''י כת''י</w:t>
      </w:r>
      <w:r w:rsidRPr="003A0195">
        <w:rPr>
          <w:rFonts w:asciiTheme="majorBidi" w:hAnsiTheme="majorBidi" w:cstheme="majorBidi"/>
          <w:sz w:val="28"/>
          <w:szCs w:val="28"/>
          <w:rtl/>
        </w:rPr>
        <w:t xml:space="preserve"> פירש ''</w:t>
      </w:r>
      <w:r w:rsidRPr="003A0195">
        <w:rPr>
          <w:rFonts w:asciiTheme="majorBidi" w:hAnsiTheme="majorBidi" w:cstheme="majorBidi"/>
          <w:sz w:val="28"/>
          <w:szCs w:val="28"/>
          <w:u w:val="single"/>
          <w:rtl/>
        </w:rPr>
        <w:t>שהיה כבר שרויה כבר מתחילה בא''י ועכשיו נשנית בחו''ל אבל לכתחילה אין שכינה שורה על האדם אלא בארץ</w:t>
      </w:r>
      <w:r w:rsidRPr="003A0195">
        <w:rPr>
          <w:rFonts w:asciiTheme="majorBidi" w:hAnsiTheme="majorBidi" w:cstheme="majorBidi"/>
          <w:sz w:val="28"/>
          <w:szCs w:val="28"/>
          <w:rtl/>
        </w:rPr>
        <w:t>''.</w:t>
      </w:r>
    </w:p>
    <w:p w14:paraId="44C1CA2F" w14:textId="77777777" w:rsidR="003A0195" w:rsidRDefault="003A0195" w:rsidP="003A0195">
      <w:pPr>
        <w:bidi/>
        <w:jc w:val="both"/>
        <w:rPr>
          <w:rFonts w:asciiTheme="majorBidi" w:hAnsiTheme="majorBidi" w:cstheme="majorBidi"/>
          <w:sz w:val="28"/>
          <w:szCs w:val="28"/>
          <w:rtl/>
        </w:rPr>
      </w:pPr>
    </w:p>
    <w:p w14:paraId="4B3373BB" w14:textId="3A6836C9" w:rsidR="003A0195" w:rsidRPr="003A0195" w:rsidRDefault="003A0195" w:rsidP="003A0195">
      <w:pPr>
        <w:bidi/>
        <w:jc w:val="both"/>
        <w:rPr>
          <w:rFonts w:asciiTheme="majorBidi" w:hAnsiTheme="majorBidi" w:cs="Times New Roman"/>
          <w:sz w:val="36"/>
          <w:szCs w:val="36"/>
          <w:u w:val="single"/>
          <w:rtl/>
        </w:rPr>
      </w:pPr>
      <w:r w:rsidRPr="003A0195">
        <w:rPr>
          <w:rFonts w:asciiTheme="majorBidi" w:hAnsiTheme="majorBidi" w:cs="Times New Roman" w:hint="cs"/>
          <w:sz w:val="36"/>
          <w:szCs w:val="36"/>
          <w:u w:val="single"/>
          <w:rtl/>
        </w:rPr>
        <w:t xml:space="preserve">אין </w:t>
      </w:r>
      <w:r w:rsidRPr="003A0195">
        <w:rPr>
          <w:rFonts w:asciiTheme="majorBidi" w:hAnsiTheme="majorBidi" w:cs="Times New Roman"/>
          <w:sz w:val="36"/>
          <w:szCs w:val="36"/>
          <w:u w:val="single"/>
          <w:rtl/>
        </w:rPr>
        <w:t>הנביא מתנבא על אשר יקרה לעצמו</w:t>
      </w:r>
    </w:p>
    <w:p w14:paraId="2991106C" w14:textId="78DEE95F" w:rsidR="003A0195" w:rsidRPr="003A0195" w:rsidRDefault="003A0195" w:rsidP="003A0195">
      <w:pPr>
        <w:bidi/>
        <w:jc w:val="both"/>
        <w:rPr>
          <w:rFonts w:asciiTheme="majorBidi" w:hAnsiTheme="majorBidi" w:cstheme="majorBidi"/>
          <w:sz w:val="28"/>
          <w:szCs w:val="28"/>
        </w:rPr>
      </w:pPr>
      <w:r>
        <w:rPr>
          <w:rFonts w:asciiTheme="majorBidi" w:hAnsiTheme="majorBidi" w:cs="Times New Roman" w:hint="cs"/>
          <w:sz w:val="28"/>
          <w:szCs w:val="28"/>
          <w:rtl/>
        </w:rPr>
        <w:t xml:space="preserve">כתב </w:t>
      </w:r>
      <w:r w:rsidRPr="003A0195">
        <w:rPr>
          <w:rFonts w:asciiTheme="majorBidi" w:hAnsiTheme="majorBidi" w:cs="Times New Roman" w:hint="cs"/>
          <w:b/>
          <w:bCs/>
          <w:sz w:val="28"/>
          <w:szCs w:val="28"/>
          <w:rtl/>
        </w:rPr>
        <w:t>המהר''ל</w:t>
      </w:r>
      <w:r>
        <w:rPr>
          <w:rFonts w:asciiTheme="majorBidi" w:hAnsiTheme="majorBidi" w:cs="Times New Roman" w:hint="cs"/>
          <w:sz w:val="28"/>
          <w:szCs w:val="28"/>
          <w:rtl/>
        </w:rPr>
        <w:t xml:space="preserve"> </w:t>
      </w:r>
      <w:r w:rsidRPr="003A0195">
        <w:rPr>
          <w:rFonts w:asciiTheme="majorBidi" w:hAnsiTheme="majorBidi" w:cs="Times New Roman" w:hint="cs"/>
          <w:sz w:val="24"/>
          <w:szCs w:val="24"/>
          <w:rtl/>
        </w:rPr>
        <w:t>(</w:t>
      </w:r>
      <w:r w:rsidRPr="003A0195">
        <w:rPr>
          <w:rFonts w:asciiTheme="majorBidi" w:hAnsiTheme="majorBidi" w:cs="Times New Roman"/>
          <w:sz w:val="24"/>
          <w:szCs w:val="24"/>
          <w:rtl/>
        </w:rPr>
        <w:t xml:space="preserve">גבורות ה' </w:t>
      </w:r>
      <w:r w:rsidRPr="003A0195">
        <w:rPr>
          <w:rFonts w:asciiTheme="majorBidi" w:hAnsiTheme="majorBidi" w:cs="Times New Roman" w:hint="cs"/>
          <w:sz w:val="24"/>
          <w:szCs w:val="24"/>
          <w:rtl/>
        </w:rPr>
        <w:t xml:space="preserve">ריש </w:t>
      </w:r>
      <w:r w:rsidRPr="003A0195">
        <w:rPr>
          <w:rFonts w:asciiTheme="majorBidi" w:hAnsiTheme="majorBidi" w:cs="Times New Roman"/>
          <w:sz w:val="24"/>
          <w:szCs w:val="24"/>
          <w:rtl/>
        </w:rPr>
        <w:t>פט</w:t>
      </w:r>
      <w:r w:rsidRPr="003A0195">
        <w:rPr>
          <w:rFonts w:asciiTheme="majorBidi" w:hAnsiTheme="majorBidi" w:cs="Times New Roman" w:hint="cs"/>
          <w:sz w:val="24"/>
          <w:szCs w:val="24"/>
          <w:rtl/>
        </w:rPr>
        <w:t>''</w:t>
      </w:r>
      <w:r w:rsidRPr="003A0195">
        <w:rPr>
          <w:rFonts w:asciiTheme="majorBidi" w:hAnsiTheme="majorBidi" w:cs="Times New Roman"/>
          <w:sz w:val="24"/>
          <w:szCs w:val="24"/>
          <w:rtl/>
        </w:rPr>
        <w:t>ז</w:t>
      </w:r>
      <w:r w:rsidRPr="003A0195">
        <w:rPr>
          <w:rFonts w:asciiTheme="majorBidi" w:hAnsiTheme="majorBidi" w:cs="Times New Roman" w:hint="cs"/>
          <w:sz w:val="24"/>
          <w:szCs w:val="24"/>
          <w:rtl/>
        </w:rPr>
        <w:t>)</w:t>
      </w:r>
      <w:r w:rsidRPr="003A0195">
        <w:rPr>
          <w:rFonts w:asciiTheme="majorBidi" w:hAnsiTheme="majorBidi" w:cstheme="majorBidi" w:hint="cs"/>
          <w:sz w:val="24"/>
          <w:szCs w:val="24"/>
          <w:rtl/>
        </w:rPr>
        <w:t xml:space="preserve"> </w:t>
      </w:r>
      <w:r>
        <w:rPr>
          <w:rFonts w:asciiTheme="majorBidi" w:hAnsiTheme="majorBidi" w:cstheme="majorBidi" w:hint="cs"/>
          <w:sz w:val="28"/>
          <w:szCs w:val="28"/>
          <w:rtl/>
        </w:rPr>
        <w:t>''</w:t>
      </w:r>
      <w:r w:rsidRPr="003A0195">
        <w:rPr>
          <w:rFonts w:asciiTheme="majorBidi" w:hAnsiTheme="majorBidi" w:cs="Times New Roman"/>
          <w:sz w:val="28"/>
          <w:szCs w:val="28"/>
          <w:rtl/>
        </w:rPr>
        <w:t>וא"ת למה היתה הנבואה</w:t>
      </w:r>
      <w:r>
        <w:rPr>
          <w:rStyle w:val="Appelnotedebasdep"/>
          <w:rFonts w:asciiTheme="majorBidi" w:hAnsiTheme="majorBidi" w:cs="Times New Roman"/>
          <w:sz w:val="28"/>
          <w:szCs w:val="28"/>
          <w:rtl/>
        </w:rPr>
        <w:footnoteReference w:id="1"/>
      </w:r>
      <w:r w:rsidRPr="003A0195">
        <w:rPr>
          <w:rFonts w:asciiTheme="majorBidi" w:hAnsiTheme="majorBidi" w:cs="Times New Roman"/>
          <w:sz w:val="28"/>
          <w:szCs w:val="28"/>
          <w:rtl/>
        </w:rPr>
        <w:t xml:space="preserve"> על ידי מרים ולא היתה הנבואה על ידי אהרן. ונראה לומר כי נבואה זאת היא היתה ראויה למרים כי הגאולה על ידי משה ואהרן כדכתיב, ולפיכך לא היה אהרן מתנבא על זה, </w:t>
      </w:r>
      <w:r w:rsidRPr="003A0195">
        <w:rPr>
          <w:rFonts w:asciiTheme="majorBidi" w:hAnsiTheme="majorBidi" w:cs="Times New Roman"/>
          <w:sz w:val="28"/>
          <w:szCs w:val="28"/>
          <w:u w:val="single"/>
          <w:rtl/>
        </w:rPr>
        <w:t>שתמיד הנביא מתנבא על דבר שיהיה אל אחר ואין מתנבא על אשר יקרה לעצמו</w:t>
      </w:r>
      <w:r w:rsidRPr="003A0195">
        <w:rPr>
          <w:rFonts w:asciiTheme="majorBidi" w:hAnsiTheme="majorBidi" w:cs="Times New Roman"/>
          <w:sz w:val="28"/>
          <w:szCs w:val="28"/>
          <w:rtl/>
        </w:rPr>
        <w:t>, ולפיכך אילו היה אהרן מתנבא על לידת המושיע היה מתנבא על עצמו, שהרי אין משה בלא אהרן ושניהם נחשבו כאחד בגאולה הזאת ולפיכך היתה הנבואה למרים ולא לאהרן</w:t>
      </w:r>
      <w:r>
        <w:rPr>
          <w:rFonts w:asciiTheme="majorBidi" w:hAnsiTheme="majorBidi" w:cs="Times New Roman" w:hint="cs"/>
          <w:sz w:val="28"/>
          <w:szCs w:val="28"/>
          <w:rtl/>
        </w:rPr>
        <w:t>''.</w:t>
      </w:r>
    </w:p>
    <w:sectPr w:rsidR="003A0195" w:rsidRPr="003A019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CE92" w14:textId="77777777" w:rsidR="00E969D4" w:rsidRDefault="00E969D4" w:rsidP="003A0195">
      <w:pPr>
        <w:spacing w:after="0" w:line="240" w:lineRule="auto"/>
      </w:pPr>
      <w:r>
        <w:separator/>
      </w:r>
    </w:p>
  </w:endnote>
  <w:endnote w:type="continuationSeparator" w:id="0">
    <w:p w14:paraId="5B01DFAC" w14:textId="77777777" w:rsidR="00E969D4" w:rsidRDefault="00E969D4" w:rsidP="003A0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8594" w14:textId="77777777" w:rsidR="00E969D4" w:rsidRDefault="00E969D4" w:rsidP="003A0195">
      <w:pPr>
        <w:spacing w:after="0" w:line="240" w:lineRule="auto"/>
      </w:pPr>
      <w:r>
        <w:separator/>
      </w:r>
    </w:p>
  </w:footnote>
  <w:footnote w:type="continuationSeparator" w:id="0">
    <w:p w14:paraId="63FEC2A1" w14:textId="77777777" w:rsidR="00E969D4" w:rsidRDefault="00E969D4" w:rsidP="003A0195">
      <w:pPr>
        <w:spacing w:after="0" w:line="240" w:lineRule="auto"/>
      </w:pPr>
      <w:r>
        <w:continuationSeparator/>
      </w:r>
    </w:p>
  </w:footnote>
  <w:footnote w:id="1">
    <w:p w14:paraId="1AABCA30" w14:textId="01E0F2EC" w:rsidR="003A0195" w:rsidRPr="003A0195" w:rsidRDefault="003A0195" w:rsidP="003A0195">
      <w:pPr>
        <w:pStyle w:val="Notedebasdepage"/>
        <w:bidi/>
        <w:jc w:val="both"/>
        <w:rPr>
          <w:rFonts w:ascii="Times New Roman" w:hAnsi="Times New Roman" w:cs="Times New Roman"/>
          <w:sz w:val="16"/>
          <w:szCs w:val="16"/>
          <w:rtl/>
        </w:rPr>
      </w:pPr>
      <w:r w:rsidRPr="003A0195">
        <w:rPr>
          <w:rStyle w:val="Appelnotedebasdep"/>
          <w:rFonts w:ascii="Times New Roman" w:hAnsi="Times New Roman" w:cs="Times New Roman"/>
          <w:sz w:val="16"/>
          <w:szCs w:val="16"/>
        </w:rPr>
        <w:footnoteRef/>
      </w:r>
      <w:r w:rsidRPr="003A0195">
        <w:rPr>
          <w:rFonts w:ascii="Times New Roman" w:hAnsi="Times New Roman" w:cs="Times New Roman"/>
          <w:sz w:val="16"/>
          <w:szCs w:val="16"/>
        </w:rPr>
        <w:t xml:space="preserve"> </w:t>
      </w:r>
      <w:r w:rsidRPr="003A0195">
        <w:rPr>
          <w:rFonts w:ascii="Times New Roman" w:hAnsi="Times New Roman" w:cs="Times New Roman"/>
          <w:sz w:val="16"/>
          <w:szCs w:val="16"/>
          <w:rtl/>
        </w:rPr>
        <w:t xml:space="preserve"> כתבו בהערות שמסתמא קאי על מה דאיתא </w:t>
      </w:r>
      <w:r w:rsidRPr="003A0195">
        <w:rPr>
          <w:rFonts w:ascii="Times New Roman" w:hAnsi="Times New Roman" w:cs="Times New Roman"/>
          <w:b/>
          <w:bCs/>
          <w:sz w:val="16"/>
          <w:szCs w:val="16"/>
          <w:rtl/>
        </w:rPr>
        <w:t>בסוטה</w:t>
      </w:r>
      <w:r w:rsidRPr="003A0195">
        <w:rPr>
          <w:rFonts w:ascii="Times New Roman" w:hAnsi="Times New Roman" w:cs="Times New Roman"/>
          <w:sz w:val="16"/>
          <w:szCs w:val="16"/>
          <w:rtl/>
        </w:rPr>
        <w:t xml:space="preserve"> </w:t>
      </w:r>
      <w:r w:rsidRPr="003A0195">
        <w:rPr>
          <w:rFonts w:ascii="Times New Roman" w:hAnsi="Times New Roman" w:cs="Times New Roman"/>
          <w:sz w:val="14"/>
          <w:szCs w:val="14"/>
          <w:rtl/>
        </w:rPr>
        <w:t xml:space="preserve">(דף יא:) </w:t>
      </w:r>
      <w:r w:rsidRPr="003A0195">
        <w:rPr>
          <w:rFonts w:ascii="Times New Roman" w:hAnsi="Times New Roman" w:cs="Times New Roman"/>
          <w:sz w:val="16"/>
          <w:szCs w:val="16"/>
          <w:rtl/>
        </w:rPr>
        <w:t>''</w:t>
      </w:r>
      <w:r w:rsidRPr="003A0195">
        <w:rPr>
          <w:rFonts w:ascii="Times New Roman" w:hAnsi="Times New Roman" w:cs="Times New Roman"/>
          <w:sz w:val="16"/>
          <w:szCs w:val="16"/>
          <w:rtl/>
        </w:rPr>
        <w:t>ד''א פועה שהיתה פועה ברוח הקודש ואומרת עתידה אמי שתלד בן שמושיע את ישראל</w:t>
      </w:r>
      <w:r w:rsidRPr="003A0195">
        <w:rPr>
          <w:rFonts w:ascii="Times New Roman" w:hAnsi="Times New Roman" w:cs="Times New Roman"/>
          <w:sz w:val="16"/>
          <w:szCs w:val="16"/>
          <w:rtl/>
        </w:rPr>
        <w:t>'' אלא דקשה למה המהר''ל התחיל המאמר ב''</w:t>
      </w:r>
      <w:r w:rsidRPr="003A0195">
        <w:rPr>
          <w:rFonts w:ascii="Times New Roman" w:hAnsi="Times New Roman" w:cs="Times New Roman"/>
          <w:sz w:val="16"/>
          <w:szCs w:val="16"/>
          <w:rtl/>
        </w:rPr>
        <w:t>וילך איש מבית לוי וגו', להיכן הלך אמר רבי רבי יודא בר זבינא שהלך בעצת בתו וכו'</w:t>
      </w:r>
      <w:r w:rsidRPr="003A0195">
        <w:rPr>
          <w:rFonts w:ascii="Times New Roman" w:hAnsi="Times New Roman" w:cs="Times New Roman"/>
          <w:sz w:val="16"/>
          <w:szCs w:val="16"/>
          <w:rtl/>
        </w:rPr>
        <w:t>''</w:t>
      </w:r>
      <w:r>
        <w:rPr>
          <w:rFonts w:ascii="Times New Roman" w:hAnsi="Times New Roman" w:cs="Times New Roman" w:hint="cs"/>
          <w:sz w:val="16"/>
          <w:szCs w:val="16"/>
          <w:rtl/>
        </w:rPr>
        <w:t>, ואין לומר שזה קאי על עצת מרים כי שם לא היה דברי נבואה אלא דבר חכמה.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A4"/>
    <w:rsid w:val="001D2779"/>
    <w:rsid w:val="0037514D"/>
    <w:rsid w:val="003A0195"/>
    <w:rsid w:val="00D3690C"/>
    <w:rsid w:val="00E757A4"/>
    <w:rsid w:val="00E969D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63BA"/>
  <w15:chartTrackingRefBased/>
  <w15:docId w15:val="{0F1C595A-E785-46FA-B1D4-B91DA757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57A4"/>
    <w:rPr>
      <w:color w:val="0563C1" w:themeColor="hyperlink"/>
      <w:u w:val="single"/>
    </w:rPr>
  </w:style>
  <w:style w:type="character" w:styleId="Mentionnonrsolue">
    <w:name w:val="Unresolved Mention"/>
    <w:basedOn w:val="Policepardfaut"/>
    <w:uiPriority w:val="99"/>
    <w:semiHidden/>
    <w:unhideWhenUsed/>
    <w:rsid w:val="00E757A4"/>
    <w:rPr>
      <w:color w:val="605E5C"/>
      <w:shd w:val="clear" w:color="auto" w:fill="E1DFDD"/>
    </w:rPr>
  </w:style>
  <w:style w:type="paragraph" w:styleId="Notedebasdepage">
    <w:name w:val="footnote text"/>
    <w:basedOn w:val="Normal"/>
    <w:link w:val="NotedebasdepageCar"/>
    <w:uiPriority w:val="99"/>
    <w:semiHidden/>
    <w:unhideWhenUsed/>
    <w:rsid w:val="003A019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A0195"/>
    <w:rPr>
      <w:noProof/>
      <w:sz w:val="20"/>
      <w:szCs w:val="20"/>
    </w:rPr>
  </w:style>
  <w:style w:type="character" w:styleId="Appelnotedebasdep">
    <w:name w:val="footnote reference"/>
    <w:basedOn w:val="Policepardfaut"/>
    <w:uiPriority w:val="99"/>
    <w:semiHidden/>
    <w:unhideWhenUsed/>
    <w:rsid w:val="003A01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2E5B3-41DA-4792-9476-243E849EC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154</Words>
  <Characters>851</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2023-03-25T20:10:00Z</dcterms:created>
  <dcterms:modified xsi:type="dcterms:W3CDTF">2026-04-03T04:29:00Z</dcterms:modified>
</cp:coreProperties>
</file>