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A76C" w14:textId="4E29E19B" w:rsidR="001D2779" w:rsidRPr="00701195" w:rsidRDefault="00701195" w:rsidP="00701195">
      <w:pPr>
        <w:bidi/>
        <w:ind w:left="3540"/>
        <w:jc w:val="both"/>
        <w:rPr>
          <w:sz w:val="56"/>
          <w:szCs w:val="56"/>
          <w:u w:val="single"/>
          <w:rtl/>
        </w:rPr>
      </w:pPr>
      <w:r w:rsidRPr="00701195">
        <w:rPr>
          <w:rFonts w:hint="cs"/>
          <w:sz w:val="56"/>
          <w:szCs w:val="56"/>
          <w:u w:val="single"/>
          <w:rtl/>
        </w:rPr>
        <w:t>ניבול פה</w:t>
      </w:r>
    </w:p>
    <w:p w14:paraId="37C0DB90" w14:textId="7CB3FE7F" w:rsidR="00701195" w:rsidRDefault="00701195" w:rsidP="00701195">
      <w:pPr>
        <w:bidi/>
        <w:jc w:val="both"/>
        <w:rPr>
          <w:sz w:val="28"/>
          <w:szCs w:val="28"/>
          <w:rtl/>
        </w:rPr>
      </w:pPr>
    </w:p>
    <w:p w14:paraId="20375084" w14:textId="05188D88" w:rsidR="00701195" w:rsidRDefault="00701195" w:rsidP="00701195">
      <w:pPr>
        <w:bidi/>
        <w:jc w:val="both"/>
        <w:rPr>
          <w:sz w:val="28"/>
          <w:szCs w:val="28"/>
          <w:rtl/>
        </w:rPr>
      </w:pPr>
    </w:p>
    <w:p w14:paraId="19FA4904" w14:textId="31CFD12E" w:rsidR="00701195" w:rsidRDefault="00701195" w:rsidP="00701195">
      <w:pPr>
        <w:bidi/>
        <w:jc w:val="both"/>
        <w:rPr>
          <w:sz w:val="28"/>
          <w:szCs w:val="28"/>
          <w:rtl/>
        </w:rPr>
      </w:pPr>
    </w:p>
    <w:p w14:paraId="0C98AA6E" w14:textId="4A0F2426" w:rsidR="00701195" w:rsidRDefault="00701195" w:rsidP="00701195">
      <w:pPr>
        <w:bidi/>
        <w:jc w:val="both"/>
        <w:rPr>
          <w:sz w:val="28"/>
          <w:szCs w:val="28"/>
          <w:rtl/>
        </w:rPr>
      </w:pPr>
      <w:bookmarkStart w:id="0" w:name="_Hlk109251472"/>
      <w:r>
        <w:rPr>
          <w:rFonts w:hint="cs"/>
          <w:sz w:val="28"/>
          <w:szCs w:val="28"/>
          <w:rtl/>
        </w:rPr>
        <w:t xml:space="preserve">עי' גמ' </w:t>
      </w:r>
      <w:r w:rsidRPr="00701195">
        <w:rPr>
          <w:rFonts w:hint="cs"/>
          <w:b/>
          <w:bCs/>
          <w:sz w:val="28"/>
          <w:szCs w:val="28"/>
          <w:rtl/>
        </w:rPr>
        <w:t>בכתובות</w:t>
      </w:r>
      <w:r>
        <w:rPr>
          <w:rFonts w:hint="cs"/>
          <w:sz w:val="28"/>
          <w:szCs w:val="28"/>
          <w:rtl/>
        </w:rPr>
        <w:t xml:space="preserve"> </w:t>
      </w:r>
      <w:r w:rsidRPr="00701195">
        <w:rPr>
          <w:rFonts w:hint="cs"/>
          <w:sz w:val="24"/>
          <w:szCs w:val="24"/>
          <w:rtl/>
        </w:rPr>
        <w:t xml:space="preserve">(דף ח:) </w:t>
      </w:r>
      <w:r>
        <w:rPr>
          <w:rFonts w:hint="cs"/>
          <w:sz w:val="28"/>
          <w:szCs w:val="28"/>
          <w:rtl/>
        </w:rPr>
        <w:t>שאומרת ''</w:t>
      </w:r>
      <w:r w:rsidRPr="00701195">
        <w:rPr>
          <w:sz w:val="28"/>
          <w:szCs w:val="28"/>
          <w:rtl/>
        </w:rPr>
        <w:t>על כן על בחוריו לא ישמח ה' ואת יתומיו ואת אלמנותיו לא ירחם כי כולו חנף ומרע וכל פה דובר נבלה בכל זאת לא שב אפו ועוד ידו נטויה מאי ועוד ידו נטויה אמר רב חנן בר רב הכל יודעין כלה למה נכנסה לחופה אלא כל המנבל פיו ומוציא דבר נבלה מפיו אפילו נחתם לו גזר דינו של שבעים שנה לטובה נהפך עליו לרעה</w:t>
      </w:r>
      <w:r>
        <w:rPr>
          <w:rFonts w:hint="cs"/>
          <w:sz w:val="28"/>
          <w:szCs w:val="28"/>
          <w:rtl/>
        </w:rPr>
        <w:t>''.</w:t>
      </w:r>
    </w:p>
    <w:bookmarkEnd w:id="0"/>
    <w:p w14:paraId="41EAA8DC" w14:textId="4346CAE2" w:rsidR="00701195" w:rsidRDefault="00701195" w:rsidP="00701195">
      <w:pPr>
        <w:bidi/>
        <w:jc w:val="both"/>
        <w:rPr>
          <w:rFonts w:cs="Arial"/>
          <w:sz w:val="28"/>
          <w:szCs w:val="28"/>
          <w:rtl/>
        </w:rPr>
      </w:pPr>
      <w:r w:rsidRPr="00701195">
        <w:rPr>
          <w:rFonts w:hint="cs"/>
          <w:b/>
          <w:bCs/>
          <w:sz w:val="28"/>
          <w:szCs w:val="28"/>
          <w:rtl/>
        </w:rPr>
        <w:t>והגליון הש''ס</w:t>
      </w:r>
      <w:r>
        <w:rPr>
          <w:rFonts w:hint="cs"/>
          <w:sz w:val="28"/>
          <w:szCs w:val="28"/>
          <w:rtl/>
        </w:rPr>
        <w:t xml:space="preserve"> מציין </w:t>
      </w:r>
      <w:r w:rsidRPr="00701195">
        <w:rPr>
          <w:rFonts w:hint="cs"/>
          <w:b/>
          <w:bCs/>
          <w:sz w:val="28"/>
          <w:szCs w:val="28"/>
          <w:rtl/>
        </w:rPr>
        <w:t>הט''ז</w:t>
      </w:r>
      <w:r>
        <w:rPr>
          <w:rFonts w:hint="cs"/>
          <w:sz w:val="28"/>
          <w:szCs w:val="28"/>
          <w:rtl/>
        </w:rPr>
        <w:t xml:space="preserve"> </w:t>
      </w:r>
      <w:r w:rsidRPr="00701195">
        <w:rPr>
          <w:rFonts w:hint="cs"/>
          <w:sz w:val="24"/>
          <w:szCs w:val="24"/>
          <w:rtl/>
        </w:rPr>
        <w:t xml:space="preserve">(ס''ק א) </w:t>
      </w:r>
      <w:r w:rsidRPr="00701195">
        <w:rPr>
          <w:rFonts w:hint="cs"/>
          <w:b/>
          <w:bCs/>
          <w:sz w:val="28"/>
          <w:szCs w:val="28"/>
          <w:rtl/>
        </w:rPr>
        <w:t>ביו''ד</w:t>
      </w:r>
      <w:r>
        <w:rPr>
          <w:rFonts w:hint="cs"/>
          <w:sz w:val="28"/>
          <w:szCs w:val="28"/>
          <w:rtl/>
        </w:rPr>
        <w:t xml:space="preserve"> </w:t>
      </w:r>
      <w:r w:rsidRPr="00701195">
        <w:rPr>
          <w:rFonts w:hint="cs"/>
          <w:sz w:val="24"/>
          <w:szCs w:val="24"/>
          <w:rtl/>
        </w:rPr>
        <w:t xml:space="preserve">(סי' קכד), </w:t>
      </w:r>
      <w:r>
        <w:rPr>
          <w:rFonts w:hint="cs"/>
          <w:sz w:val="28"/>
          <w:szCs w:val="28"/>
          <w:rtl/>
        </w:rPr>
        <w:t xml:space="preserve">וז''ל </w:t>
      </w:r>
      <w:r w:rsidRPr="00701195">
        <w:rPr>
          <w:rFonts w:hint="cs"/>
          <w:b/>
          <w:bCs/>
          <w:sz w:val="28"/>
          <w:szCs w:val="28"/>
          <w:rtl/>
        </w:rPr>
        <w:t>הט''ז</w:t>
      </w:r>
      <w:r>
        <w:rPr>
          <w:rFonts w:hint="cs"/>
          <w:sz w:val="28"/>
          <w:szCs w:val="28"/>
          <w:rtl/>
        </w:rPr>
        <w:t xml:space="preserve"> שם ''</w:t>
      </w:r>
      <w:r w:rsidRPr="00701195">
        <w:rPr>
          <w:rFonts w:cs="Arial"/>
          <w:sz w:val="28"/>
          <w:szCs w:val="28"/>
          <w:rtl/>
        </w:rPr>
        <w:t>הוא ע"פ שמצינו לשון כזה בפ"ק דכתובות כל המנבל את פיו ומוציא דבר נבלה מפיו אפי' אם נגזר עליו כו' נראה פירושו דבא למעט שלפעמים מדבר ניבול פה בלא כיוון להרע ע"כ הזכיר בכפל לשון שמוציא דבר נבלה מפיו בכוונה וברצון</w:t>
      </w:r>
      <w:r>
        <w:rPr>
          <w:rFonts w:cs="Arial" w:hint="cs"/>
          <w:sz w:val="28"/>
          <w:szCs w:val="28"/>
          <w:rtl/>
        </w:rPr>
        <w:t>''.</w:t>
      </w:r>
    </w:p>
    <w:p w14:paraId="5F20114F" w14:textId="47B60EC8" w:rsidR="00F34999" w:rsidRPr="00F34999" w:rsidRDefault="00F34999" w:rsidP="00F34999">
      <w:pPr>
        <w:bidi/>
        <w:jc w:val="both"/>
        <w:rPr>
          <w:rFonts w:cs="Arial"/>
          <w:sz w:val="28"/>
          <w:szCs w:val="28"/>
          <w:rtl/>
        </w:rPr>
      </w:pPr>
      <w:bookmarkStart w:id="1" w:name="_Hlk109251500"/>
      <w:r w:rsidRPr="00F34999">
        <w:rPr>
          <w:rFonts w:cs="Arial" w:hint="cs"/>
          <w:b/>
          <w:bCs/>
          <w:sz w:val="28"/>
          <w:szCs w:val="28"/>
          <w:rtl/>
        </w:rPr>
        <w:t>והמהר''ל</w:t>
      </w:r>
      <w:r>
        <w:rPr>
          <w:rFonts w:cs="Arial" w:hint="cs"/>
          <w:sz w:val="28"/>
          <w:szCs w:val="28"/>
          <w:rtl/>
        </w:rPr>
        <w:t xml:space="preserve"> </w:t>
      </w:r>
      <w:r w:rsidRPr="00F34999">
        <w:rPr>
          <w:rFonts w:cs="Arial" w:hint="cs"/>
          <w:sz w:val="24"/>
          <w:szCs w:val="24"/>
          <w:rtl/>
        </w:rPr>
        <w:t xml:space="preserve">(חידושי הגדות) </w:t>
      </w:r>
      <w:r>
        <w:rPr>
          <w:rFonts w:cs="Arial" w:hint="cs"/>
          <w:sz w:val="28"/>
          <w:szCs w:val="28"/>
          <w:rtl/>
        </w:rPr>
        <w:t>שם מבאר: ''</w:t>
      </w:r>
      <w:r w:rsidRPr="00F34999">
        <w:rPr>
          <w:rFonts w:cs="Arial"/>
          <w:sz w:val="28"/>
          <w:szCs w:val="28"/>
          <w:rtl/>
        </w:rPr>
        <w:t>קשה למה הוצרך לזה מה שאמר הכל יודעים כלה למה נכנסה לחופה, והלא לא נרמז בקרא שום דבר מהא דקאמר הכל יודעים כלה למה נכנסה לחופה. ויראה לומר, דמה שאמר הכל יודעים כלה למה נכנסה לחופה, בא לאשמועי' טעם לדבר זה שאמר אפי' נגזר עליו גזר דין של שבעים שנה לטובה נהפך עליו לרעה, וקאמר שאין נבול פה שעושה דבר לחבירו שאם היה מוציא דבר גנאי שהיה גנאי לאחר לא היה החטא מפני הדבור כמו שמשמע לשון נבול פה, אבל עכשיו שדבר זה הכל יודעים שכלה [למה] נכנסה לחופה ולכך אין הדבר גנאי לחבירו, רק החטא הוא מפני הדבור עצמו, ואפשר שאפי' אם היה מוציא דבר נבלה בינו ובין עצמו היה חטא, דלא דמי ללשון הרע שהוא מדבר רע לאחר ואין עיקר החטא מצד הדבור רק מצד הרע שהוא עושה בדבור, אבל זה הוא מצד הדבור בלבד, ולפיכך אם מנבל פיו אפי' בינו לבינו נקרא ג"כ נבול כמו מי שהולך בגלוי ערוה אפי' שלא לפני אדם נקרא גלוי ערוה, ולכך אפי' אם אין שומע אדם הוא איסור. וכבר ידענו כי הדבור הוא קשה כמו דבר האיש אדוני הארץ אתנו קשות (בראשית מ"ב), ומכח קושי החטא הזה אפי' נגזר עליו גזר דין של שבעים שנה לטובה נהפך עליו לרעה, שכ"כ הגזרה קשה כאשר הוא חוטא בנבול פה שהוא מנבל הדבור</w:t>
      </w:r>
      <w:r w:rsidRPr="00F34999">
        <w:rPr>
          <w:rFonts w:cs="Arial"/>
          <w:sz w:val="28"/>
          <w:szCs w:val="28"/>
        </w:rPr>
        <w:t>.</w:t>
      </w:r>
    </w:p>
    <w:p w14:paraId="0DE20A95" w14:textId="4D89A984" w:rsidR="00F34999" w:rsidRPr="00701195" w:rsidRDefault="00F34999" w:rsidP="00F34999">
      <w:pPr>
        <w:bidi/>
        <w:jc w:val="both"/>
        <w:rPr>
          <w:sz w:val="28"/>
          <w:szCs w:val="28"/>
        </w:rPr>
      </w:pPr>
      <w:r w:rsidRPr="00F34999">
        <w:rPr>
          <w:rFonts w:cs="Arial"/>
          <w:sz w:val="28"/>
          <w:szCs w:val="28"/>
          <w:rtl/>
        </w:rPr>
        <w:t>ויש לך לראות ההפרש אשר יש בין לשון הרע ובין נבול פה, כי לשון הרע הוא מצד שמדבר בחבירו ואין עצם הדבור רע רק שיאמר פלוני עשה דבר זה, ונקרא לשון הרע כי חץ שחוט לשונם, אבל נבלות פה הוא על הדבור בעצמו, ולכך אף אם נגזר עליו גזר דין של שבעים שנה לטובה נהפך עליו לרעה מפני קושי הגזירה, לפי שחוטא בדבור שהוא קשה לכך מתחדש לו גזרה קשה, ודבר זה מבואר עוד בפרק במה מדליקין (שבת ל"ג א') ודבר זה נכון</w:t>
      </w:r>
      <w:r>
        <w:rPr>
          <w:rFonts w:cs="Arial" w:hint="cs"/>
          <w:sz w:val="28"/>
          <w:szCs w:val="28"/>
          <w:rtl/>
        </w:rPr>
        <w:t>''.</w:t>
      </w:r>
      <w:bookmarkEnd w:id="1"/>
    </w:p>
    <w:sectPr w:rsidR="00F34999" w:rsidRPr="007011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95"/>
    <w:rsid w:val="001D2779"/>
    <w:rsid w:val="00285949"/>
    <w:rsid w:val="00701195"/>
    <w:rsid w:val="00F3499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87BC"/>
  <w15:chartTrackingRefBased/>
  <w15:docId w15:val="{30060332-144C-4C69-9C03-F2F135DF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317</Words>
  <Characters>1747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2022-07-20T19:11:00Z</dcterms:created>
  <dcterms:modified xsi:type="dcterms:W3CDTF">2022-07-20T20:19:00Z</dcterms:modified>
</cp:coreProperties>
</file>