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898D6" w14:textId="63816E6C" w:rsidR="00C638FF" w:rsidRPr="00C638FF" w:rsidRDefault="00C638FF" w:rsidP="00C638FF">
      <w:pPr>
        <w:bidi/>
        <w:ind w:left="3540"/>
        <w:jc w:val="both"/>
        <w:rPr>
          <w:sz w:val="56"/>
          <w:szCs w:val="56"/>
          <w:u w:val="single"/>
          <w:rtl/>
        </w:rPr>
      </w:pPr>
      <w:r w:rsidRPr="00C638FF">
        <w:rPr>
          <w:rFonts w:hint="cs"/>
          <w:sz w:val="56"/>
          <w:szCs w:val="56"/>
          <w:u w:val="single"/>
          <w:rtl/>
        </w:rPr>
        <w:t>נצחון</w:t>
      </w:r>
    </w:p>
    <w:p w14:paraId="77761566" w14:textId="081FE70A" w:rsidR="00C638FF" w:rsidRDefault="00C638FF" w:rsidP="00C638FF">
      <w:pPr>
        <w:bidi/>
        <w:jc w:val="both"/>
        <w:rPr>
          <w:sz w:val="28"/>
          <w:szCs w:val="28"/>
          <w:rtl/>
        </w:rPr>
      </w:pPr>
    </w:p>
    <w:p w14:paraId="4AEF1D36" w14:textId="52406B65" w:rsidR="00C638FF" w:rsidRDefault="00C638FF" w:rsidP="00C638FF">
      <w:pPr>
        <w:bidi/>
        <w:jc w:val="both"/>
        <w:rPr>
          <w:sz w:val="28"/>
          <w:szCs w:val="28"/>
          <w:rtl/>
        </w:rPr>
      </w:pPr>
    </w:p>
    <w:p w14:paraId="0C64E62C" w14:textId="15DEEFB7" w:rsidR="00C638FF" w:rsidRDefault="00C638FF" w:rsidP="00C638FF">
      <w:pPr>
        <w:bidi/>
        <w:jc w:val="both"/>
        <w:rPr>
          <w:sz w:val="28"/>
          <w:szCs w:val="28"/>
          <w:rtl/>
        </w:rPr>
      </w:pPr>
    </w:p>
    <w:p w14:paraId="249F0F22" w14:textId="467BB40C" w:rsidR="00C638FF" w:rsidRPr="00C638FF" w:rsidRDefault="00C638FF" w:rsidP="00C638FF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עי' </w:t>
      </w:r>
      <w:r w:rsidRPr="00C638FF">
        <w:rPr>
          <w:rFonts w:hint="cs"/>
          <w:b/>
          <w:bCs/>
          <w:sz w:val="28"/>
          <w:szCs w:val="28"/>
          <w:rtl/>
        </w:rPr>
        <w:t>בארחות צדיקים</w:t>
      </w:r>
      <w:r>
        <w:rPr>
          <w:rFonts w:hint="cs"/>
          <w:sz w:val="28"/>
          <w:szCs w:val="28"/>
          <w:rtl/>
        </w:rPr>
        <w:t xml:space="preserve"> </w:t>
      </w:r>
      <w:r w:rsidRPr="00C638FF">
        <w:rPr>
          <w:rFonts w:hint="cs"/>
          <w:sz w:val="24"/>
          <w:szCs w:val="24"/>
          <w:rtl/>
        </w:rPr>
        <w:t xml:space="preserve">(ריש שער השמחה) </w:t>
      </w:r>
      <w:r>
        <w:rPr>
          <w:rFonts w:hint="cs"/>
          <w:sz w:val="28"/>
          <w:szCs w:val="28"/>
          <w:rtl/>
        </w:rPr>
        <w:t>שכתב ''</w:t>
      </w:r>
      <w:r w:rsidRPr="00C638FF">
        <w:rPr>
          <w:sz w:val="28"/>
          <w:szCs w:val="28"/>
          <w:rtl/>
        </w:rPr>
        <w:t>הרבה רעות יש בשמחה ובשחוק. כמו השמח במכשול חברו, בעת שמגיע לו פגע רע מפגעי העולם. ועל זה נאמר (</w:t>
      </w:r>
      <w:r w:rsidRPr="00C638FF">
        <w:rPr>
          <w:b/>
          <w:bCs/>
          <w:sz w:val="28"/>
          <w:szCs w:val="28"/>
          <w:rtl/>
        </w:rPr>
        <w:t>משלי</w:t>
      </w:r>
      <w:r w:rsidRPr="00C638FF">
        <w:rPr>
          <w:sz w:val="28"/>
          <w:szCs w:val="28"/>
          <w:rtl/>
        </w:rPr>
        <w:t xml:space="preserve"> </w:t>
      </w:r>
      <w:r w:rsidRPr="00C638FF">
        <w:rPr>
          <w:sz w:val="24"/>
          <w:szCs w:val="24"/>
          <w:rtl/>
        </w:rPr>
        <w:t>כד יז</w:t>
      </w:r>
      <w:r w:rsidRPr="00C638FF">
        <w:rPr>
          <w:sz w:val="28"/>
          <w:szCs w:val="28"/>
          <w:rtl/>
        </w:rPr>
        <w:t>): "בנפול אויבך אל תשמח". ועוד יש שמחה רעה מזאת, כמו השמח כשחברו נכשל בעבודת הבורא יתברך, או שמח במיעוט ידיעתו. צריך שתבין: עבד המשרת למלך באמונה, שיש לו להצטער בראותו אנשים המורדים באדונו והמחרפים אותו, ומחוייב להוכיחם על פניהם ולהודיע נבלותם. אבל בהיות העבד שמח בראותו קלקול אדוניו וחרפתו – אין זה עבד נאמן, רק חבר לאיש משחית, ועוונו ישא. והנה הכתוב אומר (</w:t>
      </w:r>
      <w:r w:rsidRPr="00C638FF">
        <w:rPr>
          <w:b/>
          <w:bCs/>
          <w:sz w:val="28"/>
          <w:szCs w:val="28"/>
          <w:rtl/>
        </w:rPr>
        <w:t>תהלים</w:t>
      </w:r>
      <w:r w:rsidRPr="00C638FF">
        <w:rPr>
          <w:sz w:val="28"/>
          <w:szCs w:val="28"/>
          <w:rtl/>
        </w:rPr>
        <w:t xml:space="preserve"> </w:t>
      </w:r>
      <w:r w:rsidRPr="00C638FF">
        <w:rPr>
          <w:sz w:val="24"/>
          <w:szCs w:val="24"/>
          <w:rtl/>
        </w:rPr>
        <w:t>קמז יא</w:t>
      </w:r>
      <w:r w:rsidRPr="00C638FF">
        <w:rPr>
          <w:sz w:val="28"/>
          <w:szCs w:val="28"/>
          <w:rtl/>
        </w:rPr>
        <w:t xml:space="preserve">): "רוצה יי את יראיו", ומי ששמח במכשול חברו – אין רצונו כרצון הבורא יתברך. על כן התפלל </w:t>
      </w:r>
      <w:r w:rsidRPr="00C638FF">
        <w:rPr>
          <w:b/>
          <w:bCs/>
          <w:sz w:val="28"/>
          <w:szCs w:val="28"/>
          <w:rtl/>
        </w:rPr>
        <w:t>רבי נחוניא בן הקנה</w:t>
      </w:r>
      <w:r w:rsidRPr="00C638FF">
        <w:rPr>
          <w:sz w:val="28"/>
          <w:szCs w:val="28"/>
          <w:rtl/>
        </w:rPr>
        <w:t xml:space="preserve"> (</w:t>
      </w:r>
      <w:r w:rsidRPr="00C638FF">
        <w:rPr>
          <w:b/>
          <w:bCs/>
          <w:sz w:val="28"/>
          <w:szCs w:val="28"/>
          <w:rtl/>
        </w:rPr>
        <w:t>ברכות</w:t>
      </w:r>
      <w:r w:rsidRPr="00C638FF">
        <w:rPr>
          <w:sz w:val="28"/>
          <w:szCs w:val="28"/>
          <w:rtl/>
        </w:rPr>
        <w:t xml:space="preserve"> </w:t>
      </w:r>
      <w:r w:rsidRPr="00C638FF">
        <w:rPr>
          <w:sz w:val="24"/>
          <w:szCs w:val="24"/>
          <w:rtl/>
        </w:rPr>
        <w:t>כח ב</w:t>
      </w:r>
      <w:r w:rsidRPr="00C638FF">
        <w:rPr>
          <w:sz w:val="28"/>
          <w:szCs w:val="28"/>
          <w:rtl/>
        </w:rPr>
        <w:t xml:space="preserve">): אל ייכשלו חברי בדבר הלכה ואשמח בהם, ולא אכשל וישמחו בי. </w:t>
      </w:r>
      <w:r w:rsidRPr="00C638FF">
        <w:rPr>
          <w:sz w:val="28"/>
          <w:szCs w:val="28"/>
          <w:u w:val="single"/>
          <w:rtl/>
        </w:rPr>
        <w:t xml:space="preserve">ועל כן התפלל </w:t>
      </w:r>
      <w:r w:rsidRPr="00C638FF">
        <w:rPr>
          <w:b/>
          <w:bCs/>
          <w:sz w:val="28"/>
          <w:szCs w:val="28"/>
          <w:u w:val="single"/>
          <w:rtl/>
        </w:rPr>
        <w:t>רבי נחוניא בן הקנה</w:t>
      </w:r>
      <w:r w:rsidRPr="00C638FF">
        <w:rPr>
          <w:sz w:val="28"/>
          <w:szCs w:val="28"/>
          <w:u w:val="single"/>
          <w:rtl/>
        </w:rPr>
        <w:t xml:space="preserve"> על זה, כי ראה שזה דבר מצוי שאחד שמח בטעות חברו, כדי שיהא הוא נוצח את חברו ויהיה לו שם. ואף כמה בני אדם חשובים אינם נזהרים בזה</w:t>
      </w:r>
      <w:r w:rsidRPr="00C638FF">
        <w:rPr>
          <w:rFonts w:hint="cs"/>
          <w:sz w:val="28"/>
          <w:szCs w:val="28"/>
          <w:rtl/>
        </w:rPr>
        <w:t>''</w:t>
      </w:r>
      <w:r>
        <w:rPr>
          <w:rFonts w:hint="cs"/>
          <w:sz w:val="28"/>
          <w:szCs w:val="28"/>
          <w:rtl/>
        </w:rPr>
        <w:t>.</w:t>
      </w:r>
    </w:p>
    <w:sectPr w:rsidR="00C638FF" w:rsidRPr="00C63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FF"/>
    <w:rsid w:val="001D2779"/>
    <w:rsid w:val="00C6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F83F6"/>
  <w15:chartTrackingRefBased/>
  <w15:docId w15:val="{56EC811A-37E9-46CA-B061-F13D56F9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2022-07-20T06:57:00Z</dcterms:created>
  <dcterms:modified xsi:type="dcterms:W3CDTF">2022-07-20T07:01:00Z</dcterms:modified>
</cp:coreProperties>
</file>