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5FEEB" w14:textId="3AFE954A" w:rsidR="001D2779" w:rsidRPr="00A668D6" w:rsidRDefault="003F686E" w:rsidP="00A668D6">
      <w:pPr>
        <w:bidi/>
        <w:ind w:left="3540"/>
        <w:jc w:val="both"/>
        <w:rPr>
          <w:sz w:val="56"/>
          <w:szCs w:val="56"/>
          <w:u w:val="single"/>
          <w:rtl/>
        </w:rPr>
      </w:pPr>
      <w:r w:rsidRPr="00A668D6">
        <w:rPr>
          <w:rFonts w:hint="cs"/>
          <w:sz w:val="56"/>
          <w:szCs w:val="56"/>
          <w:u w:val="single"/>
          <w:rtl/>
        </w:rPr>
        <w:t>נקמה</w:t>
      </w:r>
    </w:p>
    <w:p w14:paraId="53B21026" w14:textId="71225A98" w:rsidR="003F686E" w:rsidRDefault="003F686E" w:rsidP="003F686E">
      <w:pPr>
        <w:bidi/>
        <w:jc w:val="both"/>
        <w:rPr>
          <w:sz w:val="28"/>
          <w:szCs w:val="28"/>
          <w:rtl/>
        </w:rPr>
      </w:pPr>
    </w:p>
    <w:p w14:paraId="4DFA5C6C" w14:textId="18B887F5" w:rsidR="003F686E" w:rsidRDefault="003F686E" w:rsidP="003F686E">
      <w:pPr>
        <w:bidi/>
        <w:jc w:val="both"/>
        <w:rPr>
          <w:sz w:val="28"/>
          <w:szCs w:val="28"/>
          <w:rtl/>
        </w:rPr>
      </w:pPr>
    </w:p>
    <w:p w14:paraId="7A448AFB" w14:textId="3294BC3D" w:rsidR="003F686E" w:rsidRDefault="003F686E" w:rsidP="003F686E">
      <w:pPr>
        <w:bidi/>
        <w:jc w:val="both"/>
        <w:rPr>
          <w:sz w:val="28"/>
          <w:szCs w:val="28"/>
          <w:rtl/>
        </w:rPr>
      </w:pPr>
    </w:p>
    <w:p w14:paraId="32569EBD" w14:textId="77777777" w:rsidR="003F686E" w:rsidRDefault="003F686E" w:rsidP="003F686E">
      <w:pPr>
        <w:bidi/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והנה נחלקו </w:t>
      </w:r>
      <w:r w:rsidRPr="00A668D6">
        <w:rPr>
          <w:rFonts w:hint="cs"/>
          <w:b/>
          <w:bCs/>
          <w:sz w:val="28"/>
          <w:szCs w:val="28"/>
          <w:rtl/>
        </w:rPr>
        <w:t>החינוך והרמב''ם</w:t>
      </w:r>
      <w:r>
        <w:rPr>
          <w:rFonts w:hint="cs"/>
          <w:sz w:val="28"/>
          <w:szCs w:val="28"/>
          <w:rtl/>
        </w:rPr>
        <w:t xml:space="preserve"> בטעם המצוה לא לקלל כמבואר </w:t>
      </w:r>
      <w:r w:rsidRPr="00A668D6">
        <w:rPr>
          <w:rFonts w:hint="cs"/>
          <w:b/>
          <w:bCs/>
          <w:sz w:val="28"/>
          <w:szCs w:val="28"/>
          <w:rtl/>
        </w:rPr>
        <w:t>בויקרא</w:t>
      </w:r>
      <w:r w:rsidRPr="00A668D6">
        <w:rPr>
          <w:rFonts w:hint="cs"/>
          <w:sz w:val="24"/>
          <w:szCs w:val="24"/>
          <w:rtl/>
        </w:rPr>
        <w:t xml:space="preserve">(יט, יד) </w:t>
      </w:r>
      <w:r>
        <w:rPr>
          <w:rFonts w:hint="cs"/>
          <w:sz w:val="28"/>
          <w:szCs w:val="28"/>
          <w:rtl/>
        </w:rPr>
        <w:t>''לא תקלל חרש'', שלפי החינוך הטעם הוא מצד המקולל, לא רוצים שהיא ניזוק בפה של המקלל כמו שלא רוצים שיהא ניזוק במעשה.</w:t>
      </w:r>
    </w:p>
    <w:p w14:paraId="0F065026" w14:textId="375EE876" w:rsidR="003F686E" w:rsidRPr="003F686E" w:rsidRDefault="003F686E" w:rsidP="00A668D6">
      <w:pPr>
        <w:bidi/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אמנם לפי </w:t>
      </w:r>
      <w:r w:rsidRPr="00A668D6">
        <w:rPr>
          <w:rFonts w:hint="cs"/>
          <w:b/>
          <w:bCs/>
          <w:sz w:val="28"/>
          <w:szCs w:val="28"/>
          <w:rtl/>
        </w:rPr>
        <w:t>הרמב''ם</w:t>
      </w:r>
      <w:r>
        <w:rPr>
          <w:rFonts w:hint="cs"/>
          <w:sz w:val="28"/>
          <w:szCs w:val="28"/>
          <w:rtl/>
        </w:rPr>
        <w:t xml:space="preserve"> </w:t>
      </w:r>
      <w:r w:rsidR="00A668D6" w:rsidRPr="00A668D6">
        <w:rPr>
          <w:rFonts w:cs="Arial"/>
          <w:sz w:val="28"/>
          <w:szCs w:val="28"/>
          <w:rtl/>
        </w:rPr>
        <w:t>טעם מצוה זו, כדי שלא יניע נפש המקלל אל הנקמה ולא ירגילנה לכעוס, ועוד האריך בענין בספרו. ונראה מדבריו</w:t>
      </w:r>
      <w:r w:rsidR="00A668D6">
        <w:rPr>
          <w:rStyle w:val="Appelnotedebasdep"/>
          <w:rFonts w:cs="Arial"/>
          <w:sz w:val="28"/>
          <w:szCs w:val="28"/>
          <w:rtl/>
        </w:rPr>
        <w:footnoteReference w:id="1"/>
      </w:r>
      <w:r w:rsidR="00A668D6" w:rsidRPr="00A668D6">
        <w:rPr>
          <w:rFonts w:cs="Arial"/>
          <w:sz w:val="28"/>
          <w:szCs w:val="28"/>
          <w:rtl/>
        </w:rPr>
        <w:t xml:space="preserve">, שלא יראה הוא בדעתו נזק אל המקולל בקללה, אלא שתרחיק התורה הענין מצד המקלל שלא ירגיל נפשו אל הנקמה והכעס ואל פחיתות המדות. </w:t>
      </w:r>
    </w:p>
    <w:sectPr w:rsidR="003F686E" w:rsidRPr="003F68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19FDC" w14:textId="77777777" w:rsidR="008340BB" w:rsidRDefault="008340BB" w:rsidP="00A668D6">
      <w:pPr>
        <w:spacing w:after="0" w:line="240" w:lineRule="auto"/>
      </w:pPr>
      <w:r>
        <w:separator/>
      </w:r>
    </w:p>
  </w:endnote>
  <w:endnote w:type="continuationSeparator" w:id="0">
    <w:p w14:paraId="5F44E86F" w14:textId="77777777" w:rsidR="008340BB" w:rsidRDefault="008340BB" w:rsidP="00A668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38177B" w14:textId="77777777" w:rsidR="008340BB" w:rsidRDefault="008340BB" w:rsidP="00A668D6">
      <w:pPr>
        <w:spacing w:after="0" w:line="240" w:lineRule="auto"/>
      </w:pPr>
      <w:r>
        <w:separator/>
      </w:r>
    </w:p>
  </w:footnote>
  <w:footnote w:type="continuationSeparator" w:id="0">
    <w:p w14:paraId="53AF9157" w14:textId="77777777" w:rsidR="008340BB" w:rsidRDefault="008340BB" w:rsidP="00A668D6">
      <w:pPr>
        <w:spacing w:after="0" w:line="240" w:lineRule="auto"/>
      </w:pPr>
      <w:r>
        <w:continuationSeparator/>
      </w:r>
    </w:p>
  </w:footnote>
  <w:footnote w:id="1">
    <w:p w14:paraId="73DD4D7A" w14:textId="2F38F6C0" w:rsidR="00A668D6" w:rsidRDefault="00A668D6" w:rsidP="00A668D6">
      <w:pPr>
        <w:pStyle w:val="Notedebasdepage"/>
        <w:bidi/>
        <w:jc w:val="both"/>
        <w:rPr>
          <w:rFonts w:hint="cs"/>
          <w:rtl/>
        </w:rPr>
      </w:pPr>
      <w:r>
        <w:rPr>
          <w:rStyle w:val="Appelnotedebasdep"/>
        </w:rPr>
        <w:footnoteRef/>
      </w:r>
      <w:r>
        <w:t xml:space="preserve"> </w:t>
      </w:r>
      <w:r>
        <w:rPr>
          <w:rFonts w:hint="cs"/>
          <w:rtl/>
        </w:rPr>
        <w:t xml:space="preserve"> כך אומר </w:t>
      </w:r>
      <w:r w:rsidRPr="00A668D6">
        <w:rPr>
          <w:rFonts w:hint="cs"/>
          <w:b/>
          <w:bCs/>
          <w:rtl/>
        </w:rPr>
        <w:t>החינוך</w:t>
      </w:r>
      <w:r>
        <w:rPr>
          <w:rFonts w:hint="cs"/>
          <w:rtl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86E"/>
    <w:rsid w:val="001D2779"/>
    <w:rsid w:val="003F686E"/>
    <w:rsid w:val="008340BB"/>
    <w:rsid w:val="00A66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32512"/>
  <w15:chartTrackingRefBased/>
  <w15:docId w15:val="{7277BCA0-DDAA-48DE-81C5-7D10E9AF5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A668D6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A668D6"/>
    <w:rPr>
      <w:noProof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A668D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2E33AE-F629-4C05-B042-FAC5A1B9A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66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1</cp:revision>
  <dcterms:created xsi:type="dcterms:W3CDTF">2022-07-05T12:37:00Z</dcterms:created>
  <dcterms:modified xsi:type="dcterms:W3CDTF">2022-07-05T12:44:00Z</dcterms:modified>
</cp:coreProperties>
</file>