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FDE8" w14:textId="1ED07928" w:rsidR="003C6C09" w:rsidRPr="005D0D78" w:rsidRDefault="005D0D78" w:rsidP="005D0D78">
      <w:pPr>
        <w:bidi/>
        <w:ind w:left="3540"/>
        <w:jc w:val="both"/>
        <w:rPr>
          <w:rFonts w:ascii="Times New Roman" w:hAnsi="Times New Roman" w:cs="Times New Roman"/>
          <w:sz w:val="56"/>
          <w:szCs w:val="56"/>
          <w:u w:val="single"/>
          <w:rtl/>
        </w:rPr>
      </w:pPr>
      <w:r w:rsidRPr="005D0D78">
        <w:rPr>
          <w:rFonts w:ascii="Times New Roman" w:hAnsi="Times New Roman" w:cs="Times New Roman" w:hint="cs"/>
          <w:sz w:val="56"/>
          <w:szCs w:val="56"/>
          <w:u w:val="single"/>
          <w:rtl/>
        </w:rPr>
        <w:t xml:space="preserve">פנים </w:t>
      </w:r>
    </w:p>
    <w:p w14:paraId="24BAC31D" w14:textId="77777777" w:rsidR="005D0D78" w:rsidRDefault="005D0D78" w:rsidP="005D0D78">
      <w:pPr>
        <w:bidi/>
        <w:jc w:val="both"/>
        <w:rPr>
          <w:rFonts w:ascii="Times New Roman" w:hAnsi="Times New Roman" w:cs="Times New Roman"/>
          <w:sz w:val="28"/>
          <w:szCs w:val="28"/>
          <w:rtl/>
        </w:rPr>
      </w:pPr>
    </w:p>
    <w:p w14:paraId="7F35ABD1" w14:textId="77777777" w:rsidR="005D0D78" w:rsidRDefault="005D0D78" w:rsidP="005D0D78">
      <w:pPr>
        <w:bidi/>
        <w:jc w:val="both"/>
        <w:rPr>
          <w:rFonts w:asciiTheme="majorBidi" w:hAnsiTheme="majorBidi" w:cs="Times New Roman"/>
          <w:sz w:val="36"/>
          <w:szCs w:val="36"/>
          <w:u w:val="single"/>
          <w:rtl/>
        </w:rPr>
      </w:pPr>
    </w:p>
    <w:p w14:paraId="31A8AD56" w14:textId="083548C7" w:rsidR="005D0D78" w:rsidRPr="005D0D78" w:rsidRDefault="005D0D78" w:rsidP="005D0D78">
      <w:pPr>
        <w:bidi/>
        <w:jc w:val="both"/>
        <w:rPr>
          <w:rFonts w:ascii="Times New Roman" w:hAnsi="Times New Roman" w:cs="Times New Roman"/>
          <w:sz w:val="36"/>
          <w:szCs w:val="36"/>
          <w:rtl/>
        </w:rPr>
      </w:pPr>
      <w:r w:rsidRPr="005D0D78">
        <w:rPr>
          <w:rFonts w:asciiTheme="majorBidi" w:hAnsiTheme="majorBidi" w:cs="Times New Roman"/>
          <w:sz w:val="36"/>
          <w:szCs w:val="36"/>
          <w:u w:val="single"/>
          <w:rtl/>
        </w:rPr>
        <w:t>מצינו לצדיקים שלמ</w:t>
      </w:r>
      <w:r w:rsidRPr="005D0D78">
        <w:rPr>
          <w:rFonts w:asciiTheme="majorBidi" w:hAnsiTheme="majorBidi" w:cs="Times New Roman" w:hint="cs"/>
          <w:sz w:val="36"/>
          <w:szCs w:val="36"/>
          <w:u w:val="single"/>
          <w:rtl/>
        </w:rPr>
        <w:t>ים</w:t>
      </w:r>
      <w:r w:rsidRPr="005D0D78">
        <w:rPr>
          <w:rFonts w:asciiTheme="majorBidi" w:hAnsiTheme="majorBidi" w:cs="Times New Roman"/>
          <w:sz w:val="36"/>
          <w:szCs w:val="36"/>
          <w:u w:val="single"/>
          <w:rtl/>
        </w:rPr>
        <w:t xml:space="preserve"> שהכירו ברושם הפנים מעשה אדם</w:t>
      </w:r>
    </w:p>
    <w:p w14:paraId="5C9CDE9D" w14:textId="77777777" w:rsidR="005D0D78" w:rsidRDefault="005D0D78" w:rsidP="005D0D78">
      <w:pPr>
        <w:bidi/>
        <w:jc w:val="both"/>
        <w:rPr>
          <w:rFonts w:asciiTheme="majorBidi" w:hAnsiTheme="majorBidi" w:cstheme="majorBidi"/>
          <w:sz w:val="28"/>
          <w:szCs w:val="28"/>
          <w:rtl/>
        </w:rPr>
      </w:pPr>
      <w:r>
        <w:rPr>
          <w:rFonts w:asciiTheme="majorBidi" w:hAnsiTheme="majorBidi" w:cstheme="majorBidi" w:hint="cs"/>
          <w:sz w:val="28"/>
          <w:szCs w:val="28"/>
          <w:rtl/>
        </w:rPr>
        <w:t xml:space="preserve">כתוב בפר' </w:t>
      </w:r>
      <w:r w:rsidRPr="005F073F">
        <w:rPr>
          <w:rFonts w:asciiTheme="majorBidi" w:hAnsiTheme="majorBidi" w:cstheme="majorBidi" w:hint="cs"/>
          <w:b/>
          <w:bCs/>
          <w:sz w:val="28"/>
          <w:szCs w:val="28"/>
          <w:rtl/>
        </w:rPr>
        <w:t>ויגש</w:t>
      </w:r>
      <w:r>
        <w:rPr>
          <w:rFonts w:asciiTheme="majorBidi" w:hAnsiTheme="majorBidi" w:cstheme="majorBidi" w:hint="cs"/>
          <w:sz w:val="28"/>
          <w:szCs w:val="28"/>
          <w:rtl/>
        </w:rPr>
        <w:t xml:space="preserve"> </w:t>
      </w:r>
      <w:r w:rsidRPr="005F073F">
        <w:rPr>
          <w:rFonts w:asciiTheme="majorBidi" w:hAnsiTheme="majorBidi" w:cstheme="majorBidi" w:hint="cs"/>
          <w:sz w:val="24"/>
          <w:szCs w:val="24"/>
          <w:rtl/>
        </w:rPr>
        <w:t xml:space="preserve">(מו, ל) </w:t>
      </w:r>
      <w:r>
        <w:rPr>
          <w:rFonts w:asciiTheme="majorBidi" w:hAnsiTheme="majorBidi" w:cstheme="majorBidi" w:hint="cs"/>
          <w:sz w:val="28"/>
          <w:szCs w:val="28"/>
          <w:rtl/>
        </w:rPr>
        <w:t>''</w:t>
      </w:r>
      <w:r w:rsidRPr="005F073F">
        <w:rPr>
          <w:rFonts w:asciiTheme="majorBidi" w:hAnsiTheme="majorBidi" w:cstheme="majorBidi"/>
          <w:sz w:val="28"/>
          <w:szCs w:val="28"/>
          <w:rtl/>
        </w:rPr>
        <w:t>וַיֹּאמֶר יִשְׂרָאֵל אֶל יוֹסֵף אָמוּתָה הַפָּעַם אַחֲרֵי רְאוֹתִי אֶת פָּנֶיךָ כִּי עוֹדְךָ חָי</w:t>
      </w:r>
      <w:r>
        <w:rPr>
          <w:rFonts w:asciiTheme="majorBidi" w:hAnsiTheme="majorBidi" w:cstheme="majorBidi" w:hint="cs"/>
          <w:sz w:val="28"/>
          <w:szCs w:val="28"/>
          <w:rtl/>
        </w:rPr>
        <w:t xml:space="preserve">''. </w:t>
      </w:r>
    </w:p>
    <w:p w14:paraId="09152633" w14:textId="77777777" w:rsidR="005D0D78" w:rsidRDefault="005D0D78" w:rsidP="005D0D78">
      <w:pPr>
        <w:bidi/>
        <w:jc w:val="both"/>
        <w:rPr>
          <w:rFonts w:asciiTheme="majorBidi" w:hAnsiTheme="majorBidi" w:cstheme="majorBidi"/>
          <w:sz w:val="28"/>
          <w:szCs w:val="28"/>
          <w:rtl/>
        </w:rPr>
      </w:pPr>
      <w:r>
        <w:rPr>
          <w:rFonts w:asciiTheme="majorBidi" w:hAnsiTheme="majorBidi" w:cstheme="majorBidi" w:hint="cs"/>
          <w:sz w:val="28"/>
          <w:szCs w:val="28"/>
          <w:rtl/>
        </w:rPr>
        <w:t xml:space="preserve">וכתב </w:t>
      </w:r>
      <w:r w:rsidRPr="005F073F">
        <w:rPr>
          <w:rFonts w:asciiTheme="majorBidi" w:hAnsiTheme="majorBidi" w:cstheme="majorBidi" w:hint="cs"/>
          <w:b/>
          <w:bCs/>
          <w:sz w:val="28"/>
          <w:szCs w:val="28"/>
          <w:rtl/>
        </w:rPr>
        <w:t>האור החיים</w:t>
      </w:r>
      <w:r>
        <w:rPr>
          <w:rFonts w:asciiTheme="majorBidi" w:hAnsiTheme="majorBidi" w:cstheme="majorBidi" w:hint="cs"/>
          <w:sz w:val="28"/>
          <w:szCs w:val="28"/>
          <w:rtl/>
        </w:rPr>
        <w:t xml:space="preserve"> ''</w:t>
      </w:r>
      <w:r w:rsidRPr="005F073F">
        <w:rPr>
          <w:rFonts w:asciiTheme="majorBidi" w:hAnsiTheme="majorBidi" w:cs="Times New Roman"/>
          <w:sz w:val="28"/>
          <w:szCs w:val="28"/>
          <w:rtl/>
        </w:rPr>
        <w:t>אכן כוונת דברי יעקב הם כי הגם שנתבשר כי עודנו חי זה הועיל לדעת שישנו במציאות</w:t>
      </w:r>
      <w:r>
        <w:rPr>
          <w:rFonts w:asciiTheme="majorBidi" w:hAnsiTheme="majorBidi" w:cs="Times New Roman" w:hint="cs"/>
          <w:sz w:val="28"/>
          <w:szCs w:val="28"/>
          <w:rtl/>
        </w:rPr>
        <w:t>,</w:t>
      </w:r>
      <w:r w:rsidRPr="005F073F">
        <w:rPr>
          <w:rFonts w:asciiTheme="majorBidi" w:hAnsiTheme="majorBidi" w:cs="Times New Roman"/>
          <w:sz w:val="28"/>
          <w:szCs w:val="28"/>
          <w:rtl/>
        </w:rPr>
        <w:t xml:space="preserve"> אבל עדיין לבו דוי עליו לצד היותו בין האומות שפל עבד מושלים אם עודנו בצדקותו ולא כהתה עינו ולא נס ליחו, או לצד היותו מובדל ממנו ונתון תוך הקליפות ובפרט טומאת מצרים, ומה גם לצד מה שעברו מרוח הקודש שאמר (ל''ז) טרוף טורף יוסף חיה רעה אכלתהו, (ב''ר פ' פ''ד) </w:t>
      </w:r>
      <w:r w:rsidRPr="005D0D78">
        <w:rPr>
          <w:rFonts w:asciiTheme="majorBidi" w:hAnsiTheme="majorBidi" w:cs="Times New Roman"/>
          <w:sz w:val="28"/>
          <w:szCs w:val="28"/>
          <w:rtl/>
        </w:rPr>
        <w:t>ודבר ידוע הוא כי הצדיקים יותר יחפצו בהעדר הבן בהיותו בן מביש ומה גם יעקב הצדיק</w:t>
      </w:r>
      <w:r w:rsidRPr="005F073F">
        <w:rPr>
          <w:rFonts w:asciiTheme="majorBidi" w:hAnsiTheme="majorBidi" w:cs="Times New Roman"/>
          <w:sz w:val="28"/>
          <w:szCs w:val="28"/>
          <w:rtl/>
        </w:rPr>
        <w:t xml:space="preserve">, אשר על כן לא היתה שמחתו שלימה מספק זה עד </w:t>
      </w:r>
      <w:r>
        <w:rPr>
          <w:rFonts w:asciiTheme="majorBidi" w:hAnsiTheme="majorBidi" w:cs="Times New Roman" w:hint="cs"/>
          <w:sz w:val="28"/>
          <w:szCs w:val="28"/>
          <w:rtl/>
        </w:rPr>
        <w:t>'</w:t>
      </w:r>
      <w:r w:rsidRPr="005F073F">
        <w:rPr>
          <w:rFonts w:asciiTheme="majorBidi" w:hAnsiTheme="majorBidi" w:cs="Times New Roman"/>
          <w:sz w:val="28"/>
          <w:szCs w:val="28"/>
          <w:rtl/>
        </w:rPr>
        <w:t>וירא אליו</w:t>
      </w:r>
      <w:r>
        <w:rPr>
          <w:rFonts w:asciiTheme="majorBidi" w:hAnsiTheme="majorBidi" w:cs="Times New Roman" w:hint="cs"/>
          <w:sz w:val="28"/>
          <w:szCs w:val="28"/>
          <w:rtl/>
        </w:rPr>
        <w:t>'</w:t>
      </w:r>
      <w:r w:rsidRPr="005F073F">
        <w:rPr>
          <w:rFonts w:asciiTheme="majorBidi" w:hAnsiTheme="majorBidi" w:cs="Times New Roman"/>
          <w:sz w:val="28"/>
          <w:szCs w:val="28"/>
          <w:rtl/>
        </w:rPr>
        <w:t xml:space="preserve"> והכיר בו בפניו כי הכרת הפנים תענה באיש, </w:t>
      </w:r>
      <w:r w:rsidRPr="005D0D78">
        <w:rPr>
          <w:rFonts w:asciiTheme="majorBidi" w:hAnsiTheme="majorBidi" w:cs="Times New Roman"/>
          <w:sz w:val="28"/>
          <w:szCs w:val="28"/>
          <w:u w:val="single"/>
          <w:rtl/>
        </w:rPr>
        <w:t>וכמו כן מצינו לצדיקים שלמים וכן רבים שהכירו ברושם הפנים מעשה אדם ומכל שכן יעקב אבינו שיכיר</w:t>
      </w:r>
      <w:r w:rsidRPr="005F073F">
        <w:rPr>
          <w:rFonts w:asciiTheme="majorBidi" w:hAnsiTheme="majorBidi" w:cs="Times New Roman"/>
          <w:sz w:val="28"/>
          <w:szCs w:val="28"/>
          <w:rtl/>
        </w:rPr>
        <w:t>, לזה כשהכיר בו אמר אליו אמותה הפעם פירוש הפעם הזאת בראייתך ולא מקודם כשנתבשרתי, והטעם אחרי ראותי פניך והכרתי בהם שעודך חי פי' צדיק כמקודם ולא נשתנה דיוקנך מכמות שהיה אלא עודך חי כי הצדיקים קרויים חיים (ברכות יח.) ונכון</w:t>
      </w:r>
      <w:r>
        <w:rPr>
          <w:rFonts w:asciiTheme="majorBidi" w:hAnsiTheme="majorBidi" w:cstheme="majorBidi" w:hint="cs"/>
          <w:sz w:val="28"/>
          <w:szCs w:val="28"/>
          <w:rtl/>
        </w:rPr>
        <w:t>''.</w:t>
      </w:r>
    </w:p>
    <w:p w14:paraId="2418AC65" w14:textId="101E5DF1" w:rsidR="005D0D78" w:rsidRPr="005F073F" w:rsidRDefault="005D0D78" w:rsidP="005D0D78">
      <w:pPr>
        <w:bidi/>
        <w:jc w:val="both"/>
        <w:rPr>
          <w:rFonts w:asciiTheme="majorBidi" w:hAnsiTheme="majorBidi" w:cstheme="majorBidi"/>
          <w:sz w:val="28"/>
          <w:szCs w:val="28"/>
          <w:rtl/>
        </w:rPr>
      </w:pPr>
      <w:r>
        <w:rPr>
          <w:rFonts w:asciiTheme="majorBidi" w:hAnsiTheme="majorBidi" w:cstheme="majorBidi" w:hint="cs"/>
          <w:sz w:val="28"/>
          <w:szCs w:val="28"/>
          <w:rtl/>
        </w:rPr>
        <w:t xml:space="preserve">ומובן לפי זה ש'פנים' הוא מלשון פנימיות. </w:t>
      </w:r>
    </w:p>
    <w:p w14:paraId="5A507B73" w14:textId="77777777" w:rsidR="005D0D78" w:rsidRPr="005D0D78" w:rsidRDefault="005D0D78" w:rsidP="005D0D78">
      <w:pPr>
        <w:bidi/>
        <w:jc w:val="both"/>
        <w:rPr>
          <w:rFonts w:ascii="Times New Roman" w:hAnsi="Times New Roman" w:cs="Times New Roman"/>
          <w:sz w:val="28"/>
          <w:szCs w:val="28"/>
        </w:rPr>
      </w:pPr>
    </w:p>
    <w:sectPr w:rsidR="005D0D78" w:rsidRPr="005D0D7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78"/>
    <w:rsid w:val="003C6C09"/>
    <w:rsid w:val="005D0D78"/>
    <w:rsid w:val="006E1F17"/>
    <w:rsid w:val="009700B3"/>
    <w:rsid w:val="009B49E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5EFB"/>
  <w15:chartTrackingRefBased/>
  <w15:docId w15:val="{996989D3-D187-4B38-84BE-BB3B29BC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5D0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D0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D0D7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D0D7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D0D7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D0D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0D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0D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0D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0D78"/>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5D0D78"/>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5D0D78"/>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5D0D78"/>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5D0D78"/>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5D0D78"/>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5D0D78"/>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5D0D78"/>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5D0D78"/>
    <w:rPr>
      <w:rFonts w:eastAsiaTheme="majorEastAsia" w:cstheme="majorBidi"/>
      <w:noProof/>
      <w:color w:val="272727" w:themeColor="text1" w:themeTint="D8"/>
    </w:rPr>
  </w:style>
  <w:style w:type="paragraph" w:styleId="Titre">
    <w:name w:val="Title"/>
    <w:basedOn w:val="Normal"/>
    <w:next w:val="Normal"/>
    <w:link w:val="TitreCar"/>
    <w:uiPriority w:val="10"/>
    <w:qFormat/>
    <w:rsid w:val="005D0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0D78"/>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5D0D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0D78"/>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5D0D78"/>
    <w:pPr>
      <w:spacing w:before="160"/>
      <w:jc w:val="center"/>
    </w:pPr>
    <w:rPr>
      <w:i/>
      <w:iCs/>
      <w:color w:val="404040" w:themeColor="text1" w:themeTint="BF"/>
    </w:rPr>
  </w:style>
  <w:style w:type="character" w:customStyle="1" w:styleId="CitationCar">
    <w:name w:val="Citation Car"/>
    <w:basedOn w:val="Policepardfaut"/>
    <w:link w:val="Citation"/>
    <w:uiPriority w:val="29"/>
    <w:rsid w:val="005D0D78"/>
    <w:rPr>
      <w:i/>
      <w:iCs/>
      <w:noProof/>
      <w:color w:val="404040" w:themeColor="text1" w:themeTint="BF"/>
    </w:rPr>
  </w:style>
  <w:style w:type="paragraph" w:styleId="Paragraphedeliste">
    <w:name w:val="List Paragraph"/>
    <w:basedOn w:val="Normal"/>
    <w:uiPriority w:val="34"/>
    <w:qFormat/>
    <w:rsid w:val="005D0D78"/>
    <w:pPr>
      <w:ind w:left="720"/>
      <w:contextualSpacing/>
    </w:pPr>
  </w:style>
  <w:style w:type="character" w:styleId="Accentuationintense">
    <w:name w:val="Intense Emphasis"/>
    <w:basedOn w:val="Policepardfaut"/>
    <w:uiPriority w:val="21"/>
    <w:qFormat/>
    <w:rsid w:val="005D0D78"/>
    <w:rPr>
      <w:i/>
      <w:iCs/>
      <w:color w:val="2F5496" w:themeColor="accent1" w:themeShade="BF"/>
    </w:rPr>
  </w:style>
  <w:style w:type="paragraph" w:styleId="Citationintense">
    <w:name w:val="Intense Quote"/>
    <w:basedOn w:val="Normal"/>
    <w:next w:val="Normal"/>
    <w:link w:val="CitationintenseCar"/>
    <w:uiPriority w:val="30"/>
    <w:qFormat/>
    <w:rsid w:val="005D0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D0D78"/>
    <w:rPr>
      <w:i/>
      <w:iCs/>
      <w:noProof/>
      <w:color w:val="2F5496" w:themeColor="accent1" w:themeShade="BF"/>
    </w:rPr>
  </w:style>
  <w:style w:type="character" w:styleId="Rfrenceintense">
    <w:name w:val="Intense Reference"/>
    <w:basedOn w:val="Policepardfaut"/>
    <w:uiPriority w:val="32"/>
    <w:qFormat/>
    <w:rsid w:val="005D0D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162</Words>
  <Characters>897</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2025-12-27T16:53:00Z</dcterms:created>
  <dcterms:modified xsi:type="dcterms:W3CDTF">2025-12-27T16:56:00Z</dcterms:modified>
</cp:coreProperties>
</file>