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20E7E" w14:textId="68B9CA28" w:rsidR="001D2779" w:rsidRPr="00607574" w:rsidRDefault="00607574" w:rsidP="00607574">
      <w:pPr>
        <w:bidi/>
        <w:ind w:left="3540"/>
        <w:jc w:val="both"/>
        <w:rPr>
          <w:sz w:val="56"/>
          <w:szCs w:val="56"/>
          <w:u w:val="single"/>
          <w:rtl/>
        </w:rPr>
      </w:pPr>
      <w:r w:rsidRPr="00607574">
        <w:rPr>
          <w:rFonts w:hint="cs"/>
          <w:sz w:val="56"/>
          <w:szCs w:val="56"/>
          <w:u w:val="single"/>
          <w:rtl/>
        </w:rPr>
        <w:t>פתאום</w:t>
      </w:r>
    </w:p>
    <w:p w14:paraId="3A8D551F" w14:textId="5B075203" w:rsidR="00607574" w:rsidRPr="00607574" w:rsidRDefault="00607574" w:rsidP="00607574">
      <w:pPr>
        <w:bidi/>
        <w:ind w:left="3540"/>
        <w:jc w:val="both"/>
        <w:rPr>
          <w:sz w:val="56"/>
          <w:szCs w:val="56"/>
          <w:u w:val="single"/>
          <w:rtl/>
        </w:rPr>
      </w:pPr>
    </w:p>
    <w:p w14:paraId="42E22F6E" w14:textId="7A426FD7" w:rsidR="00607574" w:rsidRDefault="00607574" w:rsidP="00607574">
      <w:pPr>
        <w:bidi/>
        <w:jc w:val="both"/>
        <w:rPr>
          <w:sz w:val="28"/>
          <w:szCs w:val="28"/>
          <w:rtl/>
        </w:rPr>
      </w:pPr>
    </w:p>
    <w:p w14:paraId="61C985FC" w14:textId="0B26108F" w:rsidR="00607574" w:rsidRDefault="00607574" w:rsidP="00607574">
      <w:pPr>
        <w:bidi/>
        <w:jc w:val="both"/>
        <w:rPr>
          <w:sz w:val="28"/>
          <w:szCs w:val="28"/>
          <w:rtl/>
        </w:rPr>
      </w:pPr>
    </w:p>
    <w:p w14:paraId="4E55E2AA" w14:textId="4BC47F5F" w:rsidR="00607574" w:rsidRDefault="00607574" w:rsidP="00607574">
      <w:pPr>
        <w:bidi/>
        <w:jc w:val="both"/>
        <w:rPr>
          <w:sz w:val="28"/>
          <w:szCs w:val="28"/>
          <w:rtl/>
        </w:rPr>
      </w:pPr>
      <w:r>
        <w:rPr>
          <w:rFonts w:hint="cs"/>
          <w:sz w:val="28"/>
          <w:szCs w:val="28"/>
          <w:rtl/>
        </w:rPr>
        <w:t xml:space="preserve">איתא </w:t>
      </w:r>
      <w:r w:rsidRPr="00510832">
        <w:rPr>
          <w:rFonts w:hint="cs"/>
          <w:b/>
          <w:bCs/>
          <w:sz w:val="28"/>
          <w:szCs w:val="28"/>
          <w:rtl/>
        </w:rPr>
        <w:t>בקידושין</w:t>
      </w:r>
      <w:r>
        <w:rPr>
          <w:rFonts w:hint="cs"/>
          <w:sz w:val="28"/>
          <w:szCs w:val="28"/>
          <w:rtl/>
        </w:rPr>
        <w:t xml:space="preserve"> </w:t>
      </w:r>
      <w:r w:rsidRPr="00510832">
        <w:rPr>
          <w:rFonts w:hint="cs"/>
          <w:sz w:val="24"/>
          <w:szCs w:val="24"/>
          <w:rtl/>
        </w:rPr>
        <w:t xml:space="preserve">(דף לב.) </w:t>
      </w:r>
      <w:r>
        <w:rPr>
          <w:rFonts w:hint="cs"/>
          <w:sz w:val="28"/>
          <w:szCs w:val="28"/>
          <w:rtl/>
        </w:rPr>
        <w:t>''</w:t>
      </w:r>
      <w:r w:rsidRPr="00607574">
        <w:rPr>
          <w:sz w:val="28"/>
          <w:szCs w:val="28"/>
          <w:rtl/>
        </w:rPr>
        <w:t>דתניא הרי שהיה אביו עובר על דברי תורה אל יאמר לו אבא עברת על דברי תורה אלא אומר לו אבא כך כתוב בתורה כך כתוב בתורה צעורי קא מצער ליה אלא אומר לו אבא מקרא כתוב בתורה כך</w:t>
      </w:r>
      <w:r>
        <w:rPr>
          <w:rFonts w:hint="cs"/>
          <w:sz w:val="28"/>
          <w:szCs w:val="28"/>
          <w:rtl/>
        </w:rPr>
        <w:t>''.</w:t>
      </w:r>
    </w:p>
    <w:p w14:paraId="16D60D28" w14:textId="332574D4" w:rsidR="00607574" w:rsidRPr="00607574" w:rsidRDefault="00607574" w:rsidP="00607574">
      <w:pPr>
        <w:bidi/>
        <w:jc w:val="both"/>
        <w:rPr>
          <w:sz w:val="28"/>
          <w:szCs w:val="28"/>
        </w:rPr>
      </w:pPr>
      <w:r w:rsidRPr="00607574">
        <w:rPr>
          <w:rFonts w:hint="cs"/>
          <w:b/>
          <w:bCs/>
          <w:sz w:val="28"/>
          <w:szCs w:val="28"/>
          <w:rtl/>
        </w:rPr>
        <w:t>ורש''י</w:t>
      </w:r>
      <w:r>
        <w:rPr>
          <w:rFonts w:hint="cs"/>
          <w:sz w:val="28"/>
          <w:szCs w:val="28"/>
          <w:rtl/>
        </w:rPr>
        <w:t xml:space="preserve"> </w:t>
      </w:r>
      <w:r w:rsidRPr="00607574">
        <w:rPr>
          <w:rFonts w:hint="cs"/>
          <w:sz w:val="24"/>
          <w:szCs w:val="24"/>
          <w:rtl/>
        </w:rPr>
        <w:t xml:space="preserve">(ד''ה לא) </w:t>
      </w:r>
      <w:r>
        <w:rPr>
          <w:rFonts w:hint="cs"/>
          <w:sz w:val="28"/>
          <w:szCs w:val="28"/>
          <w:rtl/>
        </w:rPr>
        <w:t>כותב ''</w:t>
      </w:r>
      <w:r w:rsidRPr="00607574">
        <w:rPr>
          <w:sz w:val="28"/>
          <w:szCs w:val="28"/>
          <w:rtl/>
        </w:rPr>
        <w:t>להודיעו פתאום שהוא טועה דקאמרת לי' לא תתנייא הכי</w:t>
      </w:r>
      <w:r w:rsidR="00510832">
        <w:rPr>
          <w:rFonts w:hint="cs"/>
          <w:sz w:val="28"/>
          <w:szCs w:val="28"/>
          <w:rtl/>
        </w:rPr>
        <w:t xml:space="preserve">' </w:t>
      </w:r>
      <w:r>
        <w:rPr>
          <w:rFonts w:hint="cs"/>
          <w:sz w:val="28"/>
          <w:szCs w:val="28"/>
          <w:rtl/>
        </w:rPr>
        <w:t>''</w:t>
      </w:r>
      <w:r w:rsidR="00510832">
        <w:rPr>
          <w:rFonts w:hint="cs"/>
          <w:sz w:val="28"/>
          <w:szCs w:val="28"/>
          <w:rtl/>
        </w:rPr>
        <w:t xml:space="preserve">, </w:t>
      </w:r>
      <w:r w:rsidR="00510832" w:rsidRPr="00510832">
        <w:rPr>
          <w:rFonts w:hint="cs"/>
          <w:b/>
          <w:bCs/>
          <w:sz w:val="28"/>
          <w:szCs w:val="28"/>
          <w:rtl/>
        </w:rPr>
        <w:t>רש''י</w:t>
      </w:r>
      <w:r w:rsidR="00510832">
        <w:rPr>
          <w:rFonts w:hint="cs"/>
          <w:sz w:val="28"/>
          <w:szCs w:val="28"/>
          <w:rtl/>
        </w:rPr>
        <w:t xml:space="preserve"> מלמד אותנו יסוד גדול, שהכל אפשר לומר, גם להוכיח את אביו, רק שלא יהיה פתאומי, כי כשאומרים תוכחה בצורה כזאת זה פוגע השני, ועי' מה שכתב השיחות מוסר לגבי ההבדל בין אברהם לשרה בשמעם שיצחק יהיה נעקד ע''ג המזבח.</w:t>
      </w:r>
    </w:p>
    <w:sectPr w:rsidR="00607574" w:rsidRPr="006075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74"/>
    <w:rsid w:val="001D2779"/>
    <w:rsid w:val="00510832"/>
    <w:rsid w:val="0060757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521F"/>
  <w15:chartTrackingRefBased/>
  <w15:docId w15:val="{CD5C789C-2653-4DAA-B225-82621E21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76</Words>
  <Characters>418</Characters>
  <Application>Microsoft Office Word</Application>
  <DocSecurity>0</DocSecurity>
  <Lines>3</Lines>
  <Paragraphs>1</Paragraphs>
  <ScaleCrop>false</ScaleCrop>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2023-02-03T09:47:00Z</dcterms:created>
  <dcterms:modified xsi:type="dcterms:W3CDTF">2023-02-06T07:17:00Z</dcterms:modified>
</cp:coreProperties>
</file>