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A96A0" w14:textId="65B4C474" w:rsidR="00B8591F" w:rsidRPr="00954496" w:rsidRDefault="008034E2" w:rsidP="00954496">
      <w:pPr>
        <w:bidi/>
        <w:ind w:left="3540"/>
        <w:jc w:val="both"/>
        <w:rPr>
          <w:sz w:val="28"/>
          <w:szCs w:val="28"/>
          <w:u w:val="single"/>
          <w:rtl/>
        </w:rPr>
      </w:pPr>
      <w:r w:rsidRPr="00954496">
        <w:rPr>
          <w:rFonts w:hint="cs"/>
          <w:sz w:val="56"/>
          <w:szCs w:val="56"/>
          <w:u w:val="single"/>
          <w:rtl/>
        </w:rPr>
        <w:t>קביעות</w:t>
      </w:r>
      <w:r w:rsidRPr="00954496">
        <w:rPr>
          <w:rFonts w:hint="cs"/>
          <w:sz w:val="28"/>
          <w:szCs w:val="28"/>
          <w:u w:val="single"/>
          <w:rtl/>
        </w:rPr>
        <w:t xml:space="preserve"> </w:t>
      </w:r>
    </w:p>
    <w:p w14:paraId="62E18AA7" w14:textId="019113D2" w:rsidR="008034E2" w:rsidRDefault="008034E2" w:rsidP="008034E2">
      <w:pPr>
        <w:bidi/>
        <w:jc w:val="both"/>
        <w:rPr>
          <w:sz w:val="28"/>
          <w:szCs w:val="28"/>
          <w:rtl/>
        </w:rPr>
      </w:pPr>
    </w:p>
    <w:p w14:paraId="35B20906" w14:textId="0A110BB1" w:rsidR="008034E2" w:rsidRDefault="008034E2" w:rsidP="008034E2">
      <w:pPr>
        <w:bidi/>
        <w:jc w:val="both"/>
        <w:rPr>
          <w:sz w:val="28"/>
          <w:szCs w:val="28"/>
          <w:rtl/>
        </w:rPr>
      </w:pPr>
    </w:p>
    <w:p w14:paraId="4AFA4271" w14:textId="7DD3CB47" w:rsidR="008034E2" w:rsidRDefault="008034E2" w:rsidP="008034E2">
      <w:pPr>
        <w:bidi/>
        <w:jc w:val="both"/>
        <w:rPr>
          <w:sz w:val="28"/>
          <w:szCs w:val="28"/>
          <w:rtl/>
        </w:rPr>
      </w:pPr>
    </w:p>
    <w:p w14:paraId="78D0E36B" w14:textId="07C24ED3" w:rsidR="00720547" w:rsidRDefault="00720547" w:rsidP="008034E2">
      <w:pPr>
        <w:bidi/>
        <w:jc w:val="both"/>
        <w:rPr>
          <w:sz w:val="28"/>
          <w:szCs w:val="28"/>
          <w:rtl/>
        </w:rPr>
      </w:pPr>
      <w:r>
        <w:rPr>
          <w:rFonts w:hint="cs"/>
          <w:sz w:val="28"/>
          <w:szCs w:val="28"/>
          <w:rtl/>
        </w:rPr>
        <w:t xml:space="preserve">_ </w:t>
      </w:r>
      <w:r w:rsidR="008034E2">
        <w:rPr>
          <w:rFonts w:hint="cs"/>
          <w:sz w:val="28"/>
          <w:szCs w:val="28"/>
          <w:rtl/>
        </w:rPr>
        <w:t xml:space="preserve">בהספד הנאמר על מרן שר התורה </w:t>
      </w:r>
      <w:r w:rsidR="008034E2" w:rsidRPr="00954496">
        <w:rPr>
          <w:rFonts w:hint="cs"/>
          <w:b/>
          <w:bCs/>
          <w:sz w:val="28"/>
          <w:szCs w:val="28"/>
          <w:rtl/>
        </w:rPr>
        <w:t>הגר''ח קניבסקי</w:t>
      </w:r>
      <w:r w:rsidR="008034E2">
        <w:rPr>
          <w:rFonts w:hint="cs"/>
          <w:sz w:val="28"/>
          <w:szCs w:val="28"/>
          <w:rtl/>
        </w:rPr>
        <w:t xml:space="preserve">, </w:t>
      </w:r>
      <w:r w:rsidR="008034E2" w:rsidRPr="00954496">
        <w:rPr>
          <w:rFonts w:hint="cs"/>
          <w:b/>
          <w:bCs/>
          <w:sz w:val="28"/>
          <w:szCs w:val="28"/>
          <w:rtl/>
        </w:rPr>
        <w:t>הרה''ג גנס</w:t>
      </w:r>
      <w:r w:rsidR="008034E2">
        <w:rPr>
          <w:rFonts w:hint="cs"/>
          <w:sz w:val="28"/>
          <w:szCs w:val="28"/>
          <w:rtl/>
        </w:rPr>
        <w:t xml:space="preserve"> הביא את הגמ' </w:t>
      </w:r>
      <w:r w:rsidR="008034E2" w:rsidRPr="00954496">
        <w:rPr>
          <w:rFonts w:hint="cs"/>
          <w:b/>
          <w:bCs/>
          <w:sz w:val="28"/>
          <w:szCs w:val="28"/>
          <w:rtl/>
        </w:rPr>
        <w:t>ב</w:t>
      </w:r>
      <w:r w:rsidR="00CD20A8" w:rsidRPr="00954496">
        <w:rPr>
          <w:rFonts w:hint="cs"/>
          <w:b/>
          <w:bCs/>
          <w:sz w:val="28"/>
          <w:szCs w:val="28"/>
          <w:rtl/>
        </w:rPr>
        <w:t>מגילה</w:t>
      </w:r>
      <w:r w:rsidR="00CD20A8" w:rsidRPr="00954496">
        <w:rPr>
          <w:rFonts w:hint="cs"/>
          <w:sz w:val="24"/>
          <w:szCs w:val="24"/>
          <w:rtl/>
        </w:rPr>
        <w:t>(דף כז:)</w:t>
      </w:r>
      <w:r w:rsidR="008034E2" w:rsidRPr="00954496">
        <w:rPr>
          <w:rFonts w:hint="cs"/>
          <w:sz w:val="24"/>
          <w:szCs w:val="24"/>
          <w:rtl/>
        </w:rPr>
        <w:t xml:space="preserve"> </w:t>
      </w:r>
      <w:r w:rsidR="008034E2">
        <w:rPr>
          <w:rFonts w:hint="cs"/>
          <w:sz w:val="28"/>
          <w:szCs w:val="28"/>
          <w:rtl/>
        </w:rPr>
        <w:t xml:space="preserve">ששאלו לכמה אמוראים ''במה הארכת ימים'' וכולם ענו דבר שונה מהשני, אבל הצד השוה שבכולם הוא </w:t>
      </w:r>
      <w:r w:rsidR="00CD20A8">
        <w:rPr>
          <w:rFonts w:hint="cs"/>
          <w:sz w:val="28"/>
          <w:szCs w:val="28"/>
          <w:rtl/>
        </w:rPr>
        <w:t>שכולם אמרו ''מימי לא..'' שהם הנהיגו בהנהגה מיוחדת בלי הפסק, וזה כח של הקביעות.</w:t>
      </w:r>
      <w:r w:rsidR="008034E2">
        <w:rPr>
          <w:rFonts w:hint="cs"/>
          <w:sz w:val="28"/>
          <w:szCs w:val="28"/>
          <w:rtl/>
        </w:rPr>
        <w:t xml:space="preserve"> </w:t>
      </w:r>
    </w:p>
    <w:p w14:paraId="4456AB16" w14:textId="0D96D8D7" w:rsidR="00720547" w:rsidRDefault="00720547" w:rsidP="00720547">
      <w:pPr>
        <w:bidi/>
        <w:jc w:val="both"/>
        <w:rPr>
          <w:sz w:val="28"/>
          <w:szCs w:val="28"/>
          <w:rtl/>
        </w:rPr>
      </w:pPr>
      <w:r>
        <w:rPr>
          <w:rFonts w:hint="cs"/>
          <w:sz w:val="28"/>
          <w:szCs w:val="28"/>
          <w:rtl/>
        </w:rPr>
        <w:t xml:space="preserve">_ </w:t>
      </w:r>
      <w:r w:rsidR="00954496">
        <w:rPr>
          <w:rFonts w:hint="cs"/>
          <w:sz w:val="28"/>
          <w:szCs w:val="28"/>
          <w:rtl/>
        </w:rPr>
        <w:t xml:space="preserve">וחתן של מרן בהספדו הביא ג''כ </w:t>
      </w:r>
      <w:r>
        <w:rPr>
          <w:rFonts w:hint="cs"/>
          <w:sz w:val="28"/>
          <w:szCs w:val="28"/>
          <w:rtl/>
        </w:rPr>
        <w:t xml:space="preserve">ספר </w:t>
      </w:r>
      <w:r w:rsidRPr="002F0E32">
        <w:rPr>
          <w:rFonts w:hint="cs"/>
          <w:b/>
          <w:bCs/>
          <w:sz w:val="28"/>
          <w:szCs w:val="28"/>
          <w:rtl/>
        </w:rPr>
        <w:t>שם עולם</w:t>
      </w:r>
      <w:r w:rsidR="00954496">
        <w:rPr>
          <w:rFonts w:hint="cs"/>
          <w:sz w:val="28"/>
          <w:szCs w:val="28"/>
          <w:rtl/>
        </w:rPr>
        <w:t xml:space="preserve"> [אינני יודע את המקור בדיוק] שמשבח בענין הקביעות.</w:t>
      </w:r>
    </w:p>
    <w:p w14:paraId="412A6804" w14:textId="1F612F35" w:rsidR="008034E2" w:rsidRPr="008034E2" w:rsidRDefault="002F0E32" w:rsidP="002F0E32">
      <w:pPr>
        <w:bidi/>
        <w:jc w:val="both"/>
        <w:rPr>
          <w:sz w:val="28"/>
          <w:szCs w:val="28"/>
          <w:rtl/>
        </w:rPr>
      </w:pPr>
      <w:r>
        <w:rPr>
          <w:rFonts w:hint="cs"/>
          <w:sz w:val="28"/>
          <w:szCs w:val="28"/>
          <w:rtl/>
        </w:rPr>
        <w:t xml:space="preserve">_ ועי' </w:t>
      </w:r>
      <w:r w:rsidRPr="002F0E32">
        <w:rPr>
          <w:rFonts w:hint="cs"/>
          <w:b/>
          <w:bCs/>
          <w:sz w:val="28"/>
          <w:szCs w:val="28"/>
          <w:rtl/>
        </w:rPr>
        <w:t>שם עולם</w:t>
      </w:r>
      <w:r w:rsidRPr="002F0E32">
        <w:rPr>
          <w:rFonts w:hint="cs"/>
          <w:sz w:val="24"/>
          <w:szCs w:val="24"/>
          <w:rtl/>
        </w:rPr>
        <w:t xml:space="preserve">(פרק רביעי ד''ה היוצא) </w:t>
      </w:r>
      <w:r>
        <w:rPr>
          <w:rFonts w:hint="cs"/>
          <w:sz w:val="28"/>
          <w:szCs w:val="28"/>
          <w:rtl/>
        </w:rPr>
        <w:t xml:space="preserve">שכותב ''ואמרו חז''ל </w:t>
      </w:r>
      <w:r w:rsidRPr="002F0E32">
        <w:rPr>
          <w:rFonts w:hint="cs"/>
          <w:b/>
          <w:bCs/>
          <w:sz w:val="28"/>
          <w:szCs w:val="28"/>
          <w:rtl/>
        </w:rPr>
        <w:t>בשבת</w:t>
      </w:r>
      <w:r w:rsidRPr="002F0E32">
        <w:rPr>
          <w:rFonts w:hint="cs"/>
          <w:sz w:val="24"/>
          <w:szCs w:val="24"/>
          <w:rtl/>
        </w:rPr>
        <w:t xml:space="preserve">(דף קיח:) </w:t>
      </w:r>
      <w:r>
        <w:rPr>
          <w:rFonts w:hint="cs"/>
          <w:sz w:val="28"/>
          <w:szCs w:val="28"/>
          <w:rtl/>
        </w:rPr>
        <w:t xml:space="preserve">''אל תקרי מחללו אלא מחול לו'' ר''ל דכל זה היינו דוקא אם הוא מחזיק בתמידות לשמור שבת כהלכה אז יש לו זכות שמוחלין לו על כל עוונותיו, לאפוקי אם אין המצוה אצלו בתמידות כראוי אין זכות במצוה זו כ''כ''. </w:t>
      </w:r>
      <w:r w:rsidR="008034E2">
        <w:rPr>
          <w:rFonts w:hint="cs"/>
          <w:sz w:val="28"/>
          <w:szCs w:val="28"/>
          <w:rtl/>
        </w:rPr>
        <w:t xml:space="preserve">  </w:t>
      </w:r>
    </w:p>
    <w:sectPr w:rsidR="008034E2" w:rsidRPr="008034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E2"/>
    <w:rsid w:val="002F0E32"/>
    <w:rsid w:val="00720547"/>
    <w:rsid w:val="008034E2"/>
    <w:rsid w:val="00954496"/>
    <w:rsid w:val="00B8591F"/>
    <w:rsid w:val="00CD20A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D686"/>
  <w15:chartTrackingRefBased/>
  <w15:docId w15:val="{83B4533B-BFB7-4973-860F-D7A3D86B0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96</Words>
  <Characters>530</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2022-03-27T07:06:00Z</dcterms:created>
  <dcterms:modified xsi:type="dcterms:W3CDTF">2022-03-30T08:58:00Z</dcterms:modified>
</cp:coreProperties>
</file>