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7E96" w14:textId="1ED3542F" w:rsidR="00501D6F" w:rsidRPr="00DB1437" w:rsidRDefault="006F781C" w:rsidP="006F781C">
      <w:pPr>
        <w:bidi/>
        <w:ind w:left="3540"/>
        <w:jc w:val="both"/>
        <w:rPr>
          <w:rFonts w:ascii="Times New Roman" w:hAnsi="Times New Roman" w:cs="Times New Roman"/>
          <w:sz w:val="56"/>
          <w:szCs w:val="56"/>
          <w:u w:val="single"/>
          <w:rtl/>
        </w:rPr>
      </w:pPr>
      <w:r w:rsidRPr="00DB1437">
        <w:rPr>
          <w:rFonts w:ascii="Times New Roman" w:hAnsi="Times New Roman" w:cs="Times New Roman"/>
          <w:sz w:val="56"/>
          <w:szCs w:val="56"/>
          <w:u w:val="single"/>
          <w:rtl/>
        </w:rPr>
        <w:t xml:space="preserve">קרבנות </w:t>
      </w:r>
    </w:p>
    <w:p w14:paraId="2C515E5A" w14:textId="489D5CEA" w:rsidR="006F781C" w:rsidRPr="00DB1437" w:rsidRDefault="006F781C" w:rsidP="006F781C">
      <w:pPr>
        <w:bidi/>
        <w:jc w:val="both"/>
        <w:rPr>
          <w:rFonts w:ascii="Times New Roman" w:hAnsi="Times New Roman" w:cs="Times New Roman"/>
          <w:sz w:val="28"/>
          <w:szCs w:val="28"/>
          <w:rtl/>
        </w:rPr>
      </w:pPr>
    </w:p>
    <w:p w14:paraId="58025C04" w14:textId="6D90EB94" w:rsidR="006F781C" w:rsidRPr="00DB1437" w:rsidRDefault="006F781C" w:rsidP="006F781C">
      <w:pPr>
        <w:bidi/>
        <w:jc w:val="both"/>
        <w:rPr>
          <w:rFonts w:ascii="Times New Roman" w:hAnsi="Times New Roman" w:cs="Times New Roman"/>
          <w:sz w:val="28"/>
          <w:szCs w:val="28"/>
          <w:rtl/>
        </w:rPr>
      </w:pPr>
    </w:p>
    <w:p w14:paraId="7F85100D" w14:textId="77777777" w:rsidR="006F781C" w:rsidRPr="00DB1437" w:rsidRDefault="006F781C" w:rsidP="006F781C">
      <w:pPr>
        <w:bidi/>
        <w:jc w:val="both"/>
        <w:rPr>
          <w:rFonts w:ascii="Times New Roman" w:hAnsi="Times New Roman" w:cs="Times New Roman"/>
          <w:sz w:val="28"/>
          <w:szCs w:val="28"/>
          <w:rtl/>
        </w:rPr>
      </w:pPr>
    </w:p>
    <w:p w14:paraId="74964F94" w14:textId="22ADC5AC" w:rsidR="006F781C" w:rsidRPr="00DB1437" w:rsidRDefault="006F781C" w:rsidP="006F781C">
      <w:pPr>
        <w:bidi/>
        <w:jc w:val="both"/>
        <w:rPr>
          <w:rFonts w:ascii="Times New Roman" w:hAnsi="Times New Roman" w:cs="Times New Roman"/>
          <w:sz w:val="36"/>
          <w:szCs w:val="36"/>
          <w:u w:val="single"/>
          <w:rtl/>
        </w:rPr>
      </w:pPr>
      <w:r w:rsidRPr="00DB1437">
        <w:rPr>
          <w:rFonts w:ascii="Times New Roman" w:hAnsi="Times New Roman" w:cs="Times New Roman"/>
          <w:sz w:val="36"/>
          <w:szCs w:val="36"/>
          <w:u w:val="single"/>
          <w:rtl/>
        </w:rPr>
        <w:t>אמירת קרבנות או לימוד תורה</w:t>
      </w:r>
    </w:p>
    <w:p w14:paraId="20F8F31F" w14:textId="77777777" w:rsidR="006F781C" w:rsidRPr="00DB1437" w:rsidRDefault="006F781C" w:rsidP="006F781C">
      <w:pPr>
        <w:bidi/>
        <w:jc w:val="both"/>
        <w:rPr>
          <w:rFonts w:ascii="Times New Roman" w:hAnsi="Times New Roman" w:cs="Times New Roman"/>
          <w:sz w:val="28"/>
          <w:szCs w:val="28"/>
          <w:rtl/>
        </w:rPr>
      </w:pPr>
    </w:p>
    <w:p w14:paraId="6BAA7CB5" w14:textId="6715040E" w:rsidR="006F781C" w:rsidRDefault="006F781C" w:rsidP="006F781C">
      <w:pPr>
        <w:bidi/>
        <w:jc w:val="both"/>
        <w:rPr>
          <w:rFonts w:ascii="Times New Roman" w:hAnsi="Times New Roman" w:cs="Times New Roman"/>
          <w:sz w:val="24"/>
          <w:szCs w:val="24"/>
          <w:rtl/>
        </w:rPr>
      </w:pPr>
      <w:r w:rsidRPr="00DB1437">
        <w:rPr>
          <w:rFonts w:ascii="Times New Roman" w:hAnsi="Times New Roman" w:cs="Times New Roman"/>
          <w:sz w:val="28"/>
          <w:szCs w:val="28"/>
          <w:rtl/>
        </w:rPr>
        <w:t xml:space="preserve">עי' </w:t>
      </w:r>
      <w:r w:rsidRPr="00DB1437">
        <w:rPr>
          <w:rFonts w:ascii="Times New Roman" w:hAnsi="Times New Roman" w:cs="Times New Roman"/>
          <w:b/>
          <w:bCs/>
          <w:sz w:val="28"/>
          <w:szCs w:val="28"/>
          <w:rtl/>
        </w:rPr>
        <w:t>במ''ב</w:t>
      </w:r>
      <w:r w:rsidR="00DB1437">
        <w:rPr>
          <w:rFonts w:ascii="Times New Roman" w:hAnsi="Times New Roman" w:cs="Times New Roman" w:hint="cs"/>
          <w:b/>
          <w:bCs/>
          <w:sz w:val="28"/>
          <w:szCs w:val="28"/>
          <w:rtl/>
        </w:rPr>
        <w:t xml:space="preserve"> </w:t>
      </w:r>
      <w:r w:rsidRPr="00DB1437">
        <w:rPr>
          <w:rFonts w:ascii="Times New Roman" w:hAnsi="Times New Roman" w:cs="Times New Roman"/>
          <w:sz w:val="24"/>
          <w:szCs w:val="24"/>
          <w:rtl/>
        </w:rPr>
        <w:t xml:space="preserve">(ס''ק יז) </w:t>
      </w:r>
      <w:r w:rsidRPr="00DB1437">
        <w:rPr>
          <w:rFonts w:ascii="Times New Roman" w:hAnsi="Times New Roman" w:cs="Times New Roman"/>
          <w:sz w:val="28"/>
          <w:szCs w:val="28"/>
          <w:rtl/>
        </w:rPr>
        <w:t xml:space="preserve">על סימן א שכותב ''דאין הקרבנות קרבין אלא ביום אבל פרשת הכיור ופרשת תרומת הדשן יכול לאמר קודם היום ואם אין לו פנאי יכול לאמר גם פרשת הקרבנות בלילה. ואם צריך עמידה עיין בסימן מ"ח </w:t>
      </w:r>
      <w:r w:rsidRPr="00DB1437">
        <w:rPr>
          <w:rFonts w:ascii="Times New Roman" w:hAnsi="Times New Roman" w:cs="Times New Roman"/>
          <w:b/>
          <w:bCs/>
          <w:sz w:val="28"/>
          <w:szCs w:val="28"/>
          <w:rtl/>
        </w:rPr>
        <w:t>במ"ב</w:t>
      </w:r>
      <w:r w:rsidRPr="00DB1437">
        <w:rPr>
          <w:rFonts w:ascii="Times New Roman" w:hAnsi="Times New Roman" w:cs="Times New Roman"/>
          <w:sz w:val="28"/>
          <w:szCs w:val="28"/>
          <w:rtl/>
        </w:rPr>
        <w:t xml:space="preserve"> סק"א. כתב </w:t>
      </w:r>
      <w:r w:rsidRPr="00DB1437">
        <w:rPr>
          <w:rFonts w:ascii="Times New Roman" w:hAnsi="Times New Roman" w:cs="Times New Roman"/>
          <w:b/>
          <w:bCs/>
          <w:sz w:val="28"/>
          <w:szCs w:val="28"/>
          <w:rtl/>
        </w:rPr>
        <w:t>בשל"ה</w:t>
      </w:r>
      <w:r w:rsidRPr="00DB1437">
        <w:rPr>
          <w:rFonts w:ascii="Times New Roman" w:hAnsi="Times New Roman" w:cs="Times New Roman"/>
          <w:sz w:val="28"/>
          <w:szCs w:val="28"/>
          <w:rtl/>
        </w:rPr>
        <w:t xml:space="preserve"> דבשבת ויו"ט לא יאמר יה"ר דאין קרבן נדבה בא בהם אבל הפרשיות אין הפסד לאומרן כקורא בתורה ומ"מ אם הוא בן תורה מוטב יותר שיעסוק בפרשה דיומא. מי שהוא אבל לא יאמר פרשת הקרבנות'', ועי' </w:t>
      </w:r>
      <w:r w:rsidRPr="00DB1437">
        <w:rPr>
          <w:rFonts w:ascii="Times New Roman" w:hAnsi="Times New Roman" w:cs="Times New Roman"/>
          <w:b/>
          <w:bCs/>
          <w:sz w:val="28"/>
          <w:szCs w:val="28"/>
          <w:rtl/>
        </w:rPr>
        <w:t>בדרשו</w:t>
      </w:r>
      <w:r w:rsidRPr="00DB1437">
        <w:rPr>
          <w:rFonts w:ascii="Times New Roman" w:hAnsi="Times New Roman" w:cs="Times New Roman"/>
          <w:sz w:val="28"/>
          <w:szCs w:val="28"/>
          <w:rtl/>
        </w:rPr>
        <w:t xml:space="preserve"> 36 שדייק שמדבריו נראה לכאורה שכוונתו רק בשבת ואילו בימות החול יאמר פרשיות הקרבנות, ודלא שכתב </w:t>
      </w:r>
      <w:r w:rsidRPr="00DB1437">
        <w:rPr>
          <w:rFonts w:ascii="Times New Roman" w:hAnsi="Times New Roman" w:cs="Times New Roman"/>
          <w:b/>
          <w:bCs/>
          <w:sz w:val="28"/>
          <w:szCs w:val="28"/>
          <w:rtl/>
        </w:rPr>
        <w:t>הדברי חמודות</w:t>
      </w:r>
      <w:r w:rsidR="00DB1437">
        <w:rPr>
          <w:rFonts w:ascii="Times New Roman" w:hAnsi="Times New Roman" w:cs="Times New Roman" w:hint="cs"/>
          <w:b/>
          <w:bCs/>
          <w:sz w:val="28"/>
          <w:szCs w:val="28"/>
          <w:rtl/>
        </w:rPr>
        <w:t xml:space="preserve"> </w:t>
      </w:r>
      <w:r w:rsidRPr="00DB1437">
        <w:rPr>
          <w:rFonts w:ascii="Times New Roman" w:hAnsi="Times New Roman" w:cs="Times New Roman"/>
          <w:sz w:val="24"/>
          <w:szCs w:val="24"/>
          <w:rtl/>
        </w:rPr>
        <w:t>(ברכות פ''ט אות פד)</w:t>
      </w:r>
      <w:r w:rsidRPr="00DB1437">
        <w:rPr>
          <w:rFonts w:ascii="Times New Roman" w:hAnsi="Times New Roman" w:cs="Times New Roman"/>
          <w:sz w:val="28"/>
          <w:szCs w:val="28"/>
          <w:rtl/>
        </w:rPr>
        <w:t xml:space="preserve"> שאף בימות החול מי שיש לו לב להבין וללמוד ילמד במקום לומר קרבנות, ודי לו בתפילות שתקנו אנשי כנסת הגדולה, שהרי תלמוד תורה כנגד כולם, וכדבריו משמע </w:t>
      </w:r>
      <w:r w:rsidRPr="00DB1437">
        <w:rPr>
          <w:rFonts w:ascii="Times New Roman" w:hAnsi="Times New Roman" w:cs="Times New Roman"/>
          <w:b/>
          <w:bCs/>
          <w:sz w:val="28"/>
          <w:szCs w:val="28"/>
          <w:rtl/>
        </w:rPr>
        <w:t>בשמלה חדשה</w:t>
      </w:r>
      <w:r w:rsidR="00DB1437">
        <w:rPr>
          <w:rFonts w:ascii="Times New Roman" w:hAnsi="Times New Roman" w:cs="Times New Roman" w:hint="cs"/>
          <w:b/>
          <w:bCs/>
          <w:sz w:val="28"/>
          <w:szCs w:val="28"/>
          <w:rtl/>
        </w:rPr>
        <w:t xml:space="preserve"> </w:t>
      </w:r>
      <w:r w:rsidRPr="00DB1437">
        <w:rPr>
          <w:rFonts w:ascii="Times New Roman" w:hAnsi="Times New Roman" w:cs="Times New Roman"/>
          <w:sz w:val="24"/>
          <w:szCs w:val="24"/>
          <w:rtl/>
        </w:rPr>
        <w:t>(סדר הקרבנות בסוף הספר אות ו).</w:t>
      </w:r>
    </w:p>
    <w:p w14:paraId="18FE0CC1" w14:textId="77777777" w:rsidR="00DB1437" w:rsidRDefault="00DB1437" w:rsidP="00DB1437">
      <w:pPr>
        <w:bidi/>
        <w:jc w:val="both"/>
        <w:rPr>
          <w:rFonts w:ascii="Times New Roman" w:hAnsi="Times New Roman" w:cs="Times New Roman"/>
          <w:sz w:val="24"/>
          <w:szCs w:val="24"/>
          <w:rtl/>
        </w:rPr>
      </w:pPr>
    </w:p>
    <w:p w14:paraId="5614778C" w14:textId="6A3B2101" w:rsidR="00DB1437" w:rsidRPr="00DB1437" w:rsidRDefault="00DB1437" w:rsidP="00DB1437">
      <w:pPr>
        <w:bidi/>
        <w:jc w:val="both"/>
        <w:rPr>
          <w:rFonts w:ascii="Times New Roman" w:hAnsi="Times New Roman" w:cs="Times New Roman"/>
          <w:sz w:val="32"/>
          <w:szCs w:val="32"/>
          <w:u w:val="single"/>
          <w:rtl/>
        </w:rPr>
      </w:pPr>
      <w:r w:rsidRPr="00DB1437">
        <w:rPr>
          <w:rFonts w:ascii="Times New Roman" w:hAnsi="Times New Roman" w:cs="Times New Roman"/>
          <w:sz w:val="36"/>
          <w:szCs w:val="36"/>
          <w:u w:val="single"/>
          <w:rtl/>
        </w:rPr>
        <w:t>כל העוסק בפרשת עולה כאלו הקריב עולה</w:t>
      </w:r>
    </w:p>
    <w:p w14:paraId="486C2A52" w14:textId="29C9CEDE" w:rsidR="00DB1437" w:rsidRPr="00DB1437" w:rsidRDefault="00DB1437" w:rsidP="00DB1437">
      <w:pPr>
        <w:bidi/>
        <w:jc w:val="both"/>
        <w:rPr>
          <w:rFonts w:ascii="Times New Roman" w:hAnsi="Times New Roman" w:cs="Times New Roman"/>
          <w:sz w:val="28"/>
          <w:szCs w:val="28"/>
        </w:rPr>
      </w:pPr>
      <w:r>
        <w:rPr>
          <w:rFonts w:ascii="Times New Roman" w:hAnsi="Times New Roman" w:cs="Times New Roman" w:hint="cs"/>
          <w:sz w:val="28"/>
          <w:szCs w:val="28"/>
          <w:rtl/>
        </w:rPr>
        <w:t xml:space="preserve">כתב </w:t>
      </w:r>
      <w:r w:rsidRPr="00DB1437">
        <w:rPr>
          <w:rFonts w:ascii="Times New Roman" w:hAnsi="Times New Roman" w:cs="Times New Roman" w:hint="cs"/>
          <w:b/>
          <w:bCs/>
          <w:sz w:val="28"/>
          <w:szCs w:val="28"/>
          <w:rtl/>
        </w:rPr>
        <w:t xml:space="preserve">רבינו </w:t>
      </w:r>
      <w:r w:rsidRPr="00DB1437">
        <w:rPr>
          <w:rFonts w:ascii="Times New Roman" w:hAnsi="Times New Roman" w:cs="Times New Roman"/>
          <w:b/>
          <w:bCs/>
          <w:sz w:val="28"/>
          <w:szCs w:val="28"/>
          <w:rtl/>
        </w:rPr>
        <w:t>בחיי</w:t>
      </w:r>
      <w:r w:rsidRPr="00DB1437">
        <w:rPr>
          <w:rFonts w:ascii="Times New Roman" w:hAnsi="Times New Roman" w:cs="Times New Roman"/>
          <w:sz w:val="28"/>
          <w:szCs w:val="28"/>
          <w:rtl/>
        </w:rPr>
        <w:t xml:space="preserve"> </w:t>
      </w:r>
      <w:r w:rsidRPr="00DB1437">
        <w:rPr>
          <w:rFonts w:ascii="Times New Roman" w:hAnsi="Times New Roman" w:cs="Times New Roman" w:hint="cs"/>
          <w:sz w:val="24"/>
          <w:szCs w:val="24"/>
          <w:rtl/>
        </w:rPr>
        <w:t xml:space="preserve">(פר' צו </w:t>
      </w:r>
      <w:r w:rsidRPr="00DB1437">
        <w:rPr>
          <w:rFonts w:ascii="Times New Roman" w:hAnsi="Times New Roman" w:cs="Times New Roman"/>
          <w:sz w:val="24"/>
          <w:szCs w:val="24"/>
          <w:rtl/>
        </w:rPr>
        <w:t>פ</w:t>
      </w:r>
      <w:r w:rsidRPr="00DB1437">
        <w:rPr>
          <w:rFonts w:ascii="Times New Roman" w:hAnsi="Times New Roman" w:cs="Times New Roman" w:hint="cs"/>
          <w:sz w:val="24"/>
          <w:szCs w:val="24"/>
          <w:rtl/>
        </w:rPr>
        <w:t>''</w:t>
      </w:r>
      <w:r w:rsidRPr="00DB1437">
        <w:rPr>
          <w:rFonts w:ascii="Times New Roman" w:hAnsi="Times New Roman" w:cs="Times New Roman"/>
          <w:sz w:val="24"/>
          <w:szCs w:val="24"/>
          <w:rtl/>
        </w:rPr>
        <w:t>ז פל</w:t>
      </w:r>
      <w:r w:rsidRPr="00DB1437">
        <w:rPr>
          <w:rFonts w:ascii="Times New Roman" w:hAnsi="Times New Roman" w:cs="Times New Roman" w:hint="cs"/>
          <w:sz w:val="24"/>
          <w:szCs w:val="24"/>
          <w:rtl/>
        </w:rPr>
        <w:t>''</w:t>
      </w:r>
      <w:r w:rsidRPr="00DB1437">
        <w:rPr>
          <w:rFonts w:ascii="Times New Roman" w:hAnsi="Times New Roman" w:cs="Times New Roman"/>
          <w:sz w:val="24"/>
          <w:szCs w:val="24"/>
          <w:rtl/>
        </w:rPr>
        <w:t>ז</w:t>
      </w:r>
      <w:r w:rsidRPr="00DB1437">
        <w:rPr>
          <w:rFonts w:ascii="Times New Roman" w:hAnsi="Times New Roman" w:cs="Times New Roman" w:hint="cs"/>
          <w:sz w:val="24"/>
          <w:szCs w:val="24"/>
          <w:rtl/>
        </w:rPr>
        <w:t xml:space="preserve">) </w:t>
      </w:r>
      <w:r>
        <w:rPr>
          <w:rFonts w:ascii="Times New Roman" w:hAnsi="Times New Roman" w:cs="Times New Roman" w:hint="cs"/>
          <w:sz w:val="28"/>
          <w:szCs w:val="28"/>
          <w:rtl/>
        </w:rPr>
        <w:t>''</w:t>
      </w:r>
      <w:r w:rsidRPr="00DB1437">
        <w:rPr>
          <w:rFonts w:ascii="Times New Roman" w:hAnsi="Times New Roman" w:cs="Times New Roman"/>
          <w:sz w:val="28"/>
          <w:szCs w:val="28"/>
          <w:rtl/>
        </w:rPr>
        <w:t xml:space="preserve">ודרשו רז"ל: (מנחות קי א) "זאת התורה לעולה למנחה ולחטאת ולאשם" וגו', כל העוסק בפרשת עולה כאלו הקריב עולה, בפרשת מנחה כאלו הקריב מנחה, בפרשת חטאת כאלו הקריב חטאת. </w:t>
      </w:r>
      <w:r w:rsidRPr="00DB1437">
        <w:rPr>
          <w:rFonts w:ascii="Times New Roman" w:hAnsi="Times New Roman" w:cs="Times New Roman"/>
          <w:sz w:val="28"/>
          <w:szCs w:val="28"/>
          <w:u w:val="single"/>
          <w:rtl/>
        </w:rPr>
        <w:t>והענין שהוא מתבונן בבאור הפרשה אל איזה ענין היא רומזת, כי מתוך כך יתגלו עיני שכלו ויבינו נפלאות מתורת הקרבנות, ובזה ישתדל יותר בקיום התורה והמצות ויהיו עונותיו נמחלין לו כאלו הקריב קרבן, כי אין לומר שתהיה הכונה שיהגה ויגרוס לשון הפרשה בפסוקיה הערומים בלבד מבלי שיתבונן בפירושם</w:t>
      </w:r>
      <w:r w:rsidRPr="00DB1437">
        <w:rPr>
          <w:rFonts w:ascii="Times New Roman" w:hAnsi="Times New Roman" w:cs="Times New Roman"/>
          <w:sz w:val="28"/>
          <w:szCs w:val="28"/>
          <w:rtl/>
        </w:rPr>
        <w:t>. וכיוצא בזה אמרו: (ברכות ד ב) כל האומר תהלה לדוד בכל יום מובטח לו שהוא בן העולם הבא, הכוונה כי מתוך שיתבונן במה שיורו הפסוקים ואל מה שירמזו, אז יכיר ויבחין נפלאות תמים דעים ויתחזק לבו באמונת הש"י ועבודתו, ובזה יירש חיי העולם הבא. ומטעם זה תקנו ז"ל בסדר תפלתנו משנת "איזהו מקומן" לאומרה בכל בוקר ובוקר, ואמרו על זה: (תענית כז ב) אמר הקדוש ברוך הוא בזמן שקורין בהם מעלה אני עליהם כאלו הקריבום לפני</w:t>
      </w:r>
      <w:r>
        <w:rPr>
          <w:rFonts w:ascii="Times New Roman" w:hAnsi="Times New Roman" w:cs="Times New Roman" w:hint="cs"/>
          <w:sz w:val="28"/>
          <w:szCs w:val="28"/>
          <w:rtl/>
        </w:rPr>
        <w:t>''</w:t>
      </w:r>
      <w:r w:rsidRPr="00DB1437">
        <w:rPr>
          <w:rFonts w:ascii="Times New Roman" w:hAnsi="Times New Roman" w:cs="Times New Roman"/>
          <w:sz w:val="28"/>
          <w:szCs w:val="28"/>
          <w:rtl/>
        </w:rPr>
        <w:t>.</w:t>
      </w:r>
    </w:p>
    <w:sectPr w:rsidR="00DB1437" w:rsidRPr="00DB14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1C"/>
    <w:rsid w:val="00501D6F"/>
    <w:rsid w:val="006F781C"/>
    <w:rsid w:val="00D16F90"/>
    <w:rsid w:val="00DB1437"/>
    <w:rsid w:val="00F64BA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B3C4"/>
  <w15:chartTrackingRefBased/>
  <w15:docId w15:val="{ED805832-F3C4-4D43-8BE4-50C204BD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256</Words>
  <Characters>1408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2022-05-06T13:44:00Z</dcterms:created>
  <dcterms:modified xsi:type="dcterms:W3CDTF">2026-03-29T09:34:00Z</dcterms:modified>
</cp:coreProperties>
</file>