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C65A" w14:textId="5BD41C93" w:rsidR="001D2779" w:rsidRPr="00C07F1D" w:rsidRDefault="002178D6" w:rsidP="002178D6">
      <w:pPr>
        <w:bidi/>
        <w:ind w:left="4248"/>
        <w:jc w:val="both"/>
        <w:rPr>
          <w:rFonts w:asciiTheme="majorBidi" w:hAnsiTheme="majorBidi" w:cstheme="majorBidi"/>
          <w:sz w:val="56"/>
          <w:szCs w:val="56"/>
          <w:u w:val="single"/>
          <w:rtl/>
        </w:rPr>
      </w:pPr>
      <w:r w:rsidRPr="00C07F1D">
        <w:rPr>
          <w:rFonts w:asciiTheme="majorBidi" w:hAnsiTheme="majorBidi" w:cstheme="majorBidi"/>
          <w:sz w:val="56"/>
          <w:szCs w:val="56"/>
          <w:u w:val="single"/>
          <w:rtl/>
        </w:rPr>
        <w:t>רב</w:t>
      </w:r>
    </w:p>
    <w:p w14:paraId="73591EC6" w14:textId="3CFE76EF" w:rsidR="002178D6" w:rsidRPr="00C07F1D" w:rsidRDefault="002178D6" w:rsidP="002178D6">
      <w:pPr>
        <w:bidi/>
        <w:jc w:val="both"/>
        <w:rPr>
          <w:rFonts w:asciiTheme="majorBidi" w:hAnsiTheme="majorBidi" w:cstheme="majorBidi"/>
          <w:sz w:val="28"/>
          <w:szCs w:val="28"/>
          <w:rtl/>
        </w:rPr>
      </w:pPr>
    </w:p>
    <w:p w14:paraId="092582F9" w14:textId="7F1E3D41" w:rsidR="002178D6" w:rsidRPr="00C07F1D" w:rsidRDefault="002178D6" w:rsidP="002178D6">
      <w:pPr>
        <w:bidi/>
        <w:jc w:val="both"/>
        <w:rPr>
          <w:rFonts w:asciiTheme="majorBidi" w:hAnsiTheme="majorBidi" w:cstheme="majorBidi"/>
          <w:sz w:val="28"/>
          <w:szCs w:val="28"/>
          <w:rtl/>
        </w:rPr>
      </w:pPr>
    </w:p>
    <w:p w14:paraId="5F12F95A" w14:textId="752CA4DC" w:rsidR="008B420F" w:rsidRPr="00C07F1D" w:rsidRDefault="008B420F" w:rsidP="008B420F">
      <w:pPr>
        <w:bidi/>
        <w:jc w:val="both"/>
        <w:rPr>
          <w:rFonts w:asciiTheme="majorBidi" w:hAnsiTheme="majorBidi" w:cstheme="majorBidi"/>
          <w:sz w:val="36"/>
          <w:szCs w:val="36"/>
          <w:u w:val="single"/>
          <w:rtl/>
        </w:rPr>
      </w:pPr>
      <w:r w:rsidRPr="00C07F1D">
        <w:rPr>
          <w:rFonts w:asciiTheme="majorBidi" w:hAnsiTheme="majorBidi" w:cstheme="majorBidi"/>
          <w:sz w:val="36"/>
          <w:szCs w:val="36"/>
          <w:u w:val="single"/>
          <w:rtl/>
        </w:rPr>
        <w:t>רב מיוחד ולא ילמד היום מאחד ומחר מאחר</w:t>
      </w:r>
    </w:p>
    <w:p w14:paraId="4620ECA9" w14:textId="339E6845" w:rsidR="002178D6" w:rsidRPr="00C07F1D" w:rsidRDefault="002178D6" w:rsidP="008B420F">
      <w:pPr>
        <w:bidi/>
        <w:jc w:val="both"/>
        <w:rPr>
          <w:rFonts w:asciiTheme="majorBidi" w:hAnsiTheme="majorBidi" w:cstheme="majorBidi"/>
          <w:sz w:val="28"/>
          <w:szCs w:val="28"/>
          <w:rtl/>
        </w:rPr>
      </w:pPr>
      <w:r w:rsidRPr="00C07F1D">
        <w:rPr>
          <w:rFonts w:asciiTheme="majorBidi" w:hAnsiTheme="majorBidi" w:cstheme="majorBidi"/>
          <w:sz w:val="28"/>
          <w:szCs w:val="28"/>
          <w:rtl/>
        </w:rPr>
        <w:t xml:space="preserve">עי' </w:t>
      </w:r>
      <w:r w:rsidRPr="00C07F1D">
        <w:rPr>
          <w:rFonts w:asciiTheme="majorBidi" w:hAnsiTheme="majorBidi" w:cstheme="majorBidi"/>
          <w:b/>
          <w:bCs/>
          <w:sz w:val="28"/>
          <w:szCs w:val="28"/>
          <w:rtl/>
        </w:rPr>
        <w:t>הברטנורא</w:t>
      </w:r>
      <w:r w:rsidRPr="00C07F1D">
        <w:rPr>
          <w:rFonts w:asciiTheme="majorBidi" w:hAnsiTheme="majorBidi" w:cstheme="majorBidi"/>
          <w:sz w:val="28"/>
          <w:szCs w:val="28"/>
          <w:rtl/>
        </w:rPr>
        <w:t xml:space="preserve"> על </w:t>
      </w:r>
      <w:r w:rsidRPr="00C07F1D">
        <w:rPr>
          <w:rFonts w:asciiTheme="majorBidi" w:hAnsiTheme="majorBidi" w:cstheme="majorBidi"/>
          <w:b/>
          <w:bCs/>
          <w:sz w:val="28"/>
          <w:szCs w:val="28"/>
          <w:rtl/>
        </w:rPr>
        <w:t>אבות</w:t>
      </w:r>
      <w:r w:rsidRPr="00C07F1D">
        <w:rPr>
          <w:rFonts w:asciiTheme="majorBidi" w:hAnsiTheme="majorBidi" w:cstheme="majorBidi"/>
          <w:sz w:val="28"/>
          <w:szCs w:val="28"/>
          <w:rtl/>
        </w:rPr>
        <w:t xml:space="preserve"> </w:t>
      </w:r>
      <w:r w:rsidRPr="00C07F1D">
        <w:rPr>
          <w:rFonts w:asciiTheme="majorBidi" w:hAnsiTheme="majorBidi" w:cstheme="majorBidi"/>
          <w:sz w:val="24"/>
          <w:szCs w:val="24"/>
          <w:rtl/>
        </w:rPr>
        <w:t xml:space="preserve">(א, ו) </w:t>
      </w:r>
      <w:r w:rsidRPr="00C07F1D">
        <w:rPr>
          <w:rFonts w:asciiTheme="majorBidi" w:hAnsiTheme="majorBidi" w:cstheme="majorBidi"/>
          <w:sz w:val="28"/>
          <w:szCs w:val="28"/>
          <w:rtl/>
        </w:rPr>
        <w:t>שכותב ''</w:t>
      </w:r>
      <w:r w:rsidRPr="00C07F1D">
        <w:rPr>
          <w:rFonts w:asciiTheme="majorBidi" w:hAnsiTheme="majorBidi" w:cstheme="majorBidi"/>
          <w:b/>
          <w:bCs/>
          <w:sz w:val="28"/>
          <w:szCs w:val="28"/>
          <w:rtl/>
        </w:rPr>
        <w:t>עֲשֵׂה לְךָ רַב.</w:t>
      </w:r>
      <w:r w:rsidRPr="00C07F1D">
        <w:rPr>
          <w:rFonts w:asciiTheme="majorBidi" w:hAnsiTheme="majorBidi" w:cstheme="majorBidi"/>
          <w:sz w:val="28"/>
          <w:szCs w:val="28"/>
          <w:rtl/>
        </w:rPr>
        <w:t xml:space="preserve"> רַמְבַּ"ם פֵּרֵשׁ, אַף עַל פִּי שֶׁאֵינוֹ רָאוּי לִהְיוֹת לְךָ רַב, עֲשֵׂה אוֹתוֹ רַב עָלֶיךָ וְלֹא תִּלְמֹד בֵּינְךָ לְבֵין עַצְמְךָ. וַאֲנִי שָׁמַעְתִּי, עֲשֵׂה לְךָ רַב, שֶׁיְּקַבֵּל לוֹ רַב אֶחָד שֶׁיִּלְמֹד מִמֶּנּוּ תָּמִיד, וְלֹא יִלְמֹד הַיּוֹם מֵאֶחָד וּלְמָחָר מִן הָאַחֵר. וְאַף עַל גַּב דִּבְמַסֶּכֶת עֲבוֹדָה זָרָה [דַּף י"ט] אָמְרוּ הַלּוֹמֵד תּוֹרָה מֵרַב אֶחָד אֵינוֹ רוֹאֶה סִימַן בְּרָכָה, כְּבָר פֵּרְשׁוּ וְאָמְרוּ הָנֵי מִלֵּי בִּסְבָרָא, שֶׁטּוֹב לוֹ לִשְׁמֹעַ סְבָרַת הָרַבִּים, אֲבָל לְעִנְיַן גְּמָרָא, מֵחַד רַב מְעַלֵּי, כִּי הֵיכִי דְּלֹא לִפְגֹּם לִשָׁנֵיהּ''.</w:t>
      </w:r>
    </w:p>
    <w:p w14:paraId="5A29D85A" w14:textId="77777777" w:rsidR="00642067" w:rsidRPr="00C07F1D" w:rsidRDefault="00642067" w:rsidP="00642067">
      <w:pPr>
        <w:bidi/>
        <w:jc w:val="both"/>
        <w:rPr>
          <w:rFonts w:asciiTheme="majorBidi" w:hAnsiTheme="majorBidi" w:cstheme="majorBidi"/>
          <w:sz w:val="28"/>
          <w:szCs w:val="28"/>
          <w:rtl/>
        </w:rPr>
      </w:pPr>
    </w:p>
    <w:p w14:paraId="1B29223E" w14:textId="7B624301" w:rsidR="008B420F" w:rsidRPr="00C07F1D" w:rsidRDefault="008B420F" w:rsidP="008B420F">
      <w:pPr>
        <w:bidi/>
        <w:jc w:val="both"/>
        <w:rPr>
          <w:rFonts w:asciiTheme="majorBidi" w:hAnsiTheme="majorBidi" w:cstheme="majorBidi"/>
          <w:sz w:val="36"/>
          <w:szCs w:val="36"/>
          <w:u w:val="single"/>
          <w:rtl/>
        </w:rPr>
      </w:pPr>
      <w:r w:rsidRPr="00C07F1D">
        <w:rPr>
          <w:rFonts w:asciiTheme="majorBidi" w:hAnsiTheme="majorBidi" w:cstheme="majorBidi"/>
          <w:sz w:val="36"/>
          <w:szCs w:val="36"/>
          <w:u w:val="single"/>
          <w:rtl/>
        </w:rPr>
        <w:t>חייב אדם לומר כלשון רבו</w:t>
      </w:r>
    </w:p>
    <w:p w14:paraId="03F2DD87" w14:textId="17292FBB" w:rsidR="008B420F" w:rsidRPr="00C07F1D" w:rsidRDefault="008B420F" w:rsidP="008B420F">
      <w:pPr>
        <w:bidi/>
        <w:jc w:val="both"/>
        <w:rPr>
          <w:rFonts w:asciiTheme="majorBidi" w:hAnsiTheme="majorBidi" w:cstheme="majorBidi"/>
          <w:sz w:val="28"/>
          <w:szCs w:val="28"/>
          <w:rtl/>
        </w:rPr>
      </w:pPr>
      <w:r w:rsidRPr="00C07F1D">
        <w:rPr>
          <w:rFonts w:asciiTheme="majorBidi" w:hAnsiTheme="majorBidi" w:cstheme="majorBidi"/>
          <w:sz w:val="28"/>
          <w:szCs w:val="28"/>
          <w:rtl/>
        </w:rPr>
        <w:t>מבואר ב</w:t>
      </w:r>
      <w:r w:rsidR="00642067" w:rsidRPr="00C07F1D">
        <w:rPr>
          <w:rFonts w:asciiTheme="majorBidi" w:hAnsiTheme="majorBidi" w:cstheme="majorBidi"/>
          <w:sz w:val="28"/>
          <w:szCs w:val="28"/>
          <w:rtl/>
        </w:rPr>
        <w:t xml:space="preserve">משנה </w:t>
      </w:r>
      <w:r w:rsidRPr="00C07F1D">
        <w:rPr>
          <w:rFonts w:asciiTheme="majorBidi" w:hAnsiTheme="majorBidi" w:cstheme="majorBidi"/>
          <w:sz w:val="28"/>
          <w:szCs w:val="28"/>
          <w:rtl/>
        </w:rPr>
        <w:t>ב</w:t>
      </w:r>
      <w:r w:rsidR="00642067" w:rsidRPr="00C07F1D">
        <w:rPr>
          <w:rFonts w:asciiTheme="majorBidi" w:hAnsiTheme="majorBidi" w:cstheme="majorBidi"/>
          <w:sz w:val="28"/>
          <w:szCs w:val="28"/>
          <w:rtl/>
        </w:rPr>
        <w:t xml:space="preserve">מסכת </w:t>
      </w:r>
      <w:r w:rsidR="00642067" w:rsidRPr="00C07F1D">
        <w:rPr>
          <w:rFonts w:asciiTheme="majorBidi" w:hAnsiTheme="majorBidi" w:cstheme="majorBidi"/>
          <w:b/>
          <w:bCs/>
          <w:sz w:val="28"/>
          <w:szCs w:val="28"/>
          <w:rtl/>
        </w:rPr>
        <w:t>עדויות</w:t>
      </w:r>
      <w:r w:rsidR="00642067" w:rsidRPr="00C07F1D">
        <w:rPr>
          <w:rFonts w:asciiTheme="majorBidi" w:hAnsiTheme="majorBidi" w:cstheme="majorBidi"/>
          <w:sz w:val="28"/>
          <w:szCs w:val="28"/>
          <w:rtl/>
        </w:rPr>
        <w:t xml:space="preserve"> </w:t>
      </w:r>
      <w:r w:rsidRPr="00C07F1D">
        <w:rPr>
          <w:rFonts w:asciiTheme="majorBidi" w:hAnsiTheme="majorBidi" w:cstheme="majorBidi"/>
          <w:sz w:val="24"/>
          <w:szCs w:val="24"/>
          <w:rtl/>
        </w:rPr>
        <w:t>(</w:t>
      </w:r>
      <w:r w:rsidR="00642067" w:rsidRPr="00C07F1D">
        <w:rPr>
          <w:rFonts w:asciiTheme="majorBidi" w:hAnsiTheme="majorBidi" w:cstheme="majorBidi"/>
          <w:sz w:val="24"/>
          <w:szCs w:val="24"/>
          <w:rtl/>
        </w:rPr>
        <w:t>פרק א משנה ג</w:t>
      </w:r>
      <w:r w:rsidRPr="00C07F1D">
        <w:rPr>
          <w:rFonts w:asciiTheme="majorBidi" w:hAnsiTheme="majorBidi" w:cstheme="majorBidi"/>
          <w:sz w:val="24"/>
          <w:szCs w:val="24"/>
          <w:rtl/>
        </w:rPr>
        <w:t xml:space="preserve">) </w:t>
      </w:r>
      <w:r w:rsidRPr="00C07F1D">
        <w:rPr>
          <w:rFonts w:asciiTheme="majorBidi" w:hAnsiTheme="majorBidi" w:cstheme="majorBidi"/>
          <w:sz w:val="28"/>
          <w:szCs w:val="28"/>
          <w:rtl/>
        </w:rPr>
        <w:t>''</w:t>
      </w:r>
      <w:r w:rsidR="00642067" w:rsidRPr="00C07F1D">
        <w:rPr>
          <w:rFonts w:asciiTheme="majorBidi" w:hAnsiTheme="majorBidi" w:cstheme="majorBidi"/>
          <w:b/>
          <w:bCs/>
          <w:sz w:val="28"/>
          <w:szCs w:val="28"/>
          <w:rtl/>
        </w:rPr>
        <w:t>הלל</w:t>
      </w:r>
      <w:r w:rsidR="00642067" w:rsidRPr="00C07F1D">
        <w:rPr>
          <w:rFonts w:asciiTheme="majorBidi" w:hAnsiTheme="majorBidi" w:cstheme="majorBidi"/>
          <w:sz w:val="28"/>
          <w:szCs w:val="28"/>
          <w:rtl/>
        </w:rPr>
        <w:t xml:space="preserve"> אומר מלא הין מים שאובין פוסלין המקוה אלא שאדם חייב לומר בלשון רבו</w:t>
      </w:r>
      <w:r w:rsidRPr="00C07F1D">
        <w:rPr>
          <w:rFonts w:asciiTheme="majorBidi" w:hAnsiTheme="majorBidi" w:cstheme="majorBidi"/>
          <w:sz w:val="28"/>
          <w:szCs w:val="28"/>
          <w:rtl/>
        </w:rPr>
        <w:t>''.</w:t>
      </w:r>
    </w:p>
    <w:p w14:paraId="61344ED7" w14:textId="7A473EBC" w:rsidR="00642067" w:rsidRPr="00C07F1D" w:rsidRDefault="008B420F" w:rsidP="008B420F">
      <w:pPr>
        <w:bidi/>
        <w:jc w:val="both"/>
        <w:rPr>
          <w:rFonts w:asciiTheme="majorBidi" w:hAnsiTheme="majorBidi" w:cstheme="majorBidi"/>
          <w:sz w:val="28"/>
          <w:szCs w:val="28"/>
          <w:rtl/>
        </w:rPr>
      </w:pPr>
      <w:r w:rsidRPr="00C07F1D">
        <w:rPr>
          <w:rFonts w:asciiTheme="majorBidi" w:hAnsiTheme="majorBidi" w:cstheme="majorBidi"/>
          <w:sz w:val="28"/>
          <w:szCs w:val="28"/>
          <w:rtl/>
        </w:rPr>
        <w:t>וכותב</w:t>
      </w:r>
      <w:r w:rsidR="00642067" w:rsidRPr="00C07F1D">
        <w:rPr>
          <w:rFonts w:asciiTheme="majorBidi" w:hAnsiTheme="majorBidi" w:cstheme="majorBidi"/>
          <w:sz w:val="28"/>
          <w:szCs w:val="28"/>
          <w:rtl/>
        </w:rPr>
        <w:t xml:space="preserve"> </w:t>
      </w:r>
      <w:r w:rsidRPr="00C07F1D">
        <w:rPr>
          <w:rFonts w:asciiTheme="majorBidi" w:hAnsiTheme="majorBidi" w:cstheme="majorBidi"/>
          <w:b/>
          <w:bCs/>
          <w:sz w:val="28"/>
          <w:szCs w:val="28"/>
          <w:rtl/>
        </w:rPr>
        <w:t>ה</w:t>
      </w:r>
      <w:r w:rsidR="00642067" w:rsidRPr="00C07F1D">
        <w:rPr>
          <w:rFonts w:asciiTheme="majorBidi" w:hAnsiTheme="majorBidi" w:cstheme="majorBidi"/>
          <w:b/>
          <w:bCs/>
          <w:sz w:val="28"/>
          <w:szCs w:val="28"/>
          <w:rtl/>
        </w:rPr>
        <w:t>ברטנורא</w:t>
      </w:r>
      <w:r w:rsidR="00642067" w:rsidRPr="00C07F1D">
        <w:rPr>
          <w:rFonts w:asciiTheme="majorBidi" w:hAnsiTheme="majorBidi" w:cstheme="majorBidi"/>
          <w:sz w:val="28"/>
          <w:szCs w:val="28"/>
          <w:rtl/>
        </w:rPr>
        <w:t xml:space="preserve"> </w:t>
      </w:r>
      <w:r w:rsidRPr="00C07F1D">
        <w:rPr>
          <w:rFonts w:asciiTheme="majorBidi" w:hAnsiTheme="majorBidi" w:cstheme="majorBidi"/>
          <w:sz w:val="28"/>
          <w:szCs w:val="28"/>
          <w:rtl/>
        </w:rPr>
        <w:t>''</w:t>
      </w:r>
      <w:r w:rsidR="00642067" w:rsidRPr="00C07F1D">
        <w:rPr>
          <w:rFonts w:asciiTheme="majorBidi" w:hAnsiTheme="majorBidi" w:cstheme="majorBidi"/>
          <w:sz w:val="28"/>
          <w:szCs w:val="28"/>
          <w:rtl/>
        </w:rPr>
        <w:t>הין</w:t>
      </w:r>
      <w:r w:rsidR="00826BDC" w:rsidRPr="00C07F1D">
        <w:rPr>
          <w:rFonts w:asciiTheme="majorBidi" w:hAnsiTheme="majorBidi" w:cstheme="majorBidi"/>
          <w:sz w:val="28"/>
          <w:szCs w:val="28"/>
          <w:rtl/>
        </w:rPr>
        <w:t xml:space="preserve">. </w:t>
      </w:r>
      <w:r w:rsidR="00642067" w:rsidRPr="00C07F1D">
        <w:rPr>
          <w:rFonts w:asciiTheme="majorBidi" w:hAnsiTheme="majorBidi" w:cstheme="majorBidi"/>
          <w:sz w:val="28"/>
          <w:szCs w:val="28"/>
          <w:rtl/>
        </w:rPr>
        <w:t>שנים עשר לוגין</w:t>
      </w:r>
      <w:r w:rsidR="00642067" w:rsidRPr="00C07F1D">
        <w:rPr>
          <w:rFonts w:asciiTheme="majorBidi" w:hAnsiTheme="majorBidi" w:cstheme="majorBidi"/>
          <w:sz w:val="28"/>
          <w:szCs w:val="28"/>
        </w:rPr>
        <w:t>:</w:t>
      </w:r>
      <w:r w:rsidR="00642067" w:rsidRPr="00C07F1D">
        <w:rPr>
          <w:rFonts w:asciiTheme="majorBidi" w:hAnsiTheme="majorBidi" w:cstheme="majorBidi"/>
          <w:sz w:val="28"/>
          <w:szCs w:val="28"/>
          <w:rtl/>
        </w:rPr>
        <w:t>פוסלין את המקוה</w:t>
      </w:r>
      <w:r w:rsidRPr="00C07F1D">
        <w:rPr>
          <w:rFonts w:asciiTheme="majorBidi" w:hAnsiTheme="majorBidi" w:cstheme="majorBidi"/>
          <w:sz w:val="28"/>
          <w:szCs w:val="28"/>
          <w:rtl/>
        </w:rPr>
        <w:t>.</w:t>
      </w:r>
      <w:r w:rsidR="00642067" w:rsidRPr="00C07F1D">
        <w:rPr>
          <w:rFonts w:asciiTheme="majorBidi" w:hAnsiTheme="majorBidi" w:cstheme="majorBidi"/>
          <w:sz w:val="28"/>
          <w:szCs w:val="28"/>
          <w:rtl/>
        </w:rPr>
        <w:t xml:space="preserve"> אם נפלו בתוכו קודם שנשלם שיעורו. אבל לאחר שנשלם, אפילו השליך לתוכו כל מים שאובים שבעולם שוב אינן פוסלים</w:t>
      </w:r>
      <w:r w:rsidRPr="00C07F1D">
        <w:rPr>
          <w:rFonts w:asciiTheme="majorBidi" w:hAnsiTheme="majorBidi" w:cstheme="majorBidi"/>
          <w:sz w:val="28"/>
          <w:szCs w:val="28"/>
          <w:rtl/>
        </w:rPr>
        <w:t>''.</w:t>
      </w:r>
    </w:p>
    <w:p w14:paraId="4DFF721A" w14:textId="7FC332DB" w:rsidR="00642067" w:rsidRPr="00C07F1D" w:rsidRDefault="008B420F" w:rsidP="008B420F">
      <w:pPr>
        <w:bidi/>
        <w:jc w:val="both"/>
        <w:rPr>
          <w:rFonts w:asciiTheme="majorBidi" w:hAnsiTheme="majorBidi" w:cstheme="majorBidi"/>
          <w:sz w:val="28"/>
          <w:szCs w:val="28"/>
          <w:rtl/>
        </w:rPr>
      </w:pPr>
      <w:r w:rsidRPr="00C07F1D">
        <w:rPr>
          <w:rFonts w:asciiTheme="majorBidi" w:hAnsiTheme="majorBidi" w:cstheme="majorBidi"/>
          <w:sz w:val="28"/>
          <w:szCs w:val="28"/>
          <w:rtl/>
        </w:rPr>
        <w:t xml:space="preserve">וכותב </w:t>
      </w:r>
      <w:r w:rsidRPr="00C07F1D">
        <w:rPr>
          <w:rFonts w:asciiTheme="majorBidi" w:hAnsiTheme="majorBidi" w:cstheme="majorBidi"/>
          <w:b/>
          <w:bCs/>
          <w:sz w:val="28"/>
          <w:szCs w:val="28"/>
          <w:rtl/>
        </w:rPr>
        <w:t>ה</w:t>
      </w:r>
      <w:r w:rsidR="00642067" w:rsidRPr="00C07F1D">
        <w:rPr>
          <w:rFonts w:asciiTheme="majorBidi" w:hAnsiTheme="majorBidi" w:cstheme="majorBidi"/>
          <w:b/>
          <w:bCs/>
          <w:sz w:val="28"/>
          <w:szCs w:val="28"/>
          <w:rtl/>
        </w:rPr>
        <w:t>רמב"ם</w:t>
      </w:r>
      <w:r w:rsidR="00642067" w:rsidRPr="00C07F1D">
        <w:rPr>
          <w:rFonts w:asciiTheme="majorBidi" w:hAnsiTheme="majorBidi" w:cstheme="majorBidi"/>
          <w:sz w:val="28"/>
          <w:szCs w:val="28"/>
          <w:rtl/>
        </w:rPr>
        <w:t xml:space="preserve"> </w:t>
      </w:r>
      <w:r w:rsidRPr="00C07F1D">
        <w:rPr>
          <w:rFonts w:asciiTheme="majorBidi" w:hAnsiTheme="majorBidi" w:cstheme="majorBidi"/>
          <w:sz w:val="28"/>
          <w:szCs w:val="28"/>
          <w:rtl/>
        </w:rPr>
        <w:t>''</w:t>
      </w:r>
      <w:r w:rsidR="00642067" w:rsidRPr="00C07F1D">
        <w:rPr>
          <w:rFonts w:asciiTheme="majorBidi" w:hAnsiTheme="majorBidi" w:cstheme="majorBidi"/>
          <w:sz w:val="28"/>
          <w:szCs w:val="28"/>
          <w:rtl/>
        </w:rPr>
        <w:t>שמעיה ואבטליון הם רבותיהם של שמאי והלל כמו שיתבאר באבות והיו עליהם השלום גרים ונשארה בלשונם עלגות הגוים והיו אומרים במקום מלוא הין מלא הין, והיה הלל אומר כך מלא הין כמו ששמע מהם והוא אמרו שחייב אדם לומר כלשון רבו. ויש מי שקורא מלוא חין ואומר כי השינוי היה בין הין וחין. והקריאה הראשונה היא אשר קבלתי מאבא מארי זצ"ל שקבל מרבו</w:t>
      </w:r>
      <w:r w:rsidRPr="00C07F1D">
        <w:rPr>
          <w:rFonts w:asciiTheme="majorBidi" w:hAnsiTheme="majorBidi" w:cstheme="majorBidi"/>
          <w:sz w:val="28"/>
          <w:szCs w:val="28"/>
        </w:rPr>
        <w:t xml:space="preserve"> </w:t>
      </w:r>
      <w:r w:rsidRPr="00C07F1D">
        <w:rPr>
          <w:rFonts w:asciiTheme="majorBidi" w:hAnsiTheme="majorBidi" w:cstheme="majorBidi"/>
          <w:sz w:val="28"/>
          <w:szCs w:val="28"/>
          <w:rtl/>
        </w:rPr>
        <w:t xml:space="preserve">[הר''י מיגאש] </w:t>
      </w:r>
      <w:r w:rsidR="00642067" w:rsidRPr="00C07F1D">
        <w:rPr>
          <w:rFonts w:asciiTheme="majorBidi" w:hAnsiTheme="majorBidi" w:cstheme="majorBidi"/>
          <w:sz w:val="28"/>
          <w:szCs w:val="28"/>
          <w:rtl/>
        </w:rPr>
        <w:t xml:space="preserve">ורבו מרבו </w:t>
      </w:r>
      <w:r w:rsidRPr="00C07F1D">
        <w:rPr>
          <w:rFonts w:asciiTheme="majorBidi" w:hAnsiTheme="majorBidi" w:cstheme="majorBidi"/>
          <w:sz w:val="28"/>
          <w:szCs w:val="28"/>
          <w:rtl/>
        </w:rPr>
        <w:t>[הרי''ף] ז</w:t>
      </w:r>
      <w:r w:rsidR="00642067" w:rsidRPr="00C07F1D">
        <w:rPr>
          <w:rFonts w:asciiTheme="majorBidi" w:hAnsiTheme="majorBidi" w:cstheme="majorBidi"/>
          <w:sz w:val="28"/>
          <w:szCs w:val="28"/>
          <w:rtl/>
        </w:rPr>
        <w:t>כרם לברכה. וההין הוא שלשת קבין, והוא חצי סאה. ולוג רבע הקב, לפי שהקב ארבעה לוגין, וכבר ביארנו שעור מלוג בפאה</w:t>
      </w:r>
      <w:r w:rsidRPr="00C07F1D">
        <w:rPr>
          <w:rFonts w:asciiTheme="majorBidi" w:hAnsiTheme="majorBidi" w:cstheme="majorBidi"/>
          <w:sz w:val="28"/>
          <w:szCs w:val="28"/>
          <w:rtl/>
        </w:rPr>
        <w:t>''.</w:t>
      </w:r>
    </w:p>
    <w:p w14:paraId="3C4953E6" w14:textId="387EEB1A" w:rsidR="008B420F" w:rsidRPr="00C07F1D" w:rsidRDefault="008B420F" w:rsidP="008B420F">
      <w:pPr>
        <w:bidi/>
        <w:jc w:val="both"/>
        <w:rPr>
          <w:rFonts w:asciiTheme="majorBidi" w:hAnsiTheme="majorBidi" w:cstheme="majorBidi"/>
          <w:sz w:val="28"/>
          <w:szCs w:val="28"/>
          <w:rtl/>
        </w:rPr>
      </w:pPr>
      <w:r w:rsidRPr="00C07F1D">
        <w:rPr>
          <w:rFonts w:asciiTheme="majorBidi" w:hAnsiTheme="majorBidi" w:cstheme="majorBidi"/>
          <w:sz w:val="28"/>
          <w:szCs w:val="28"/>
          <w:rtl/>
        </w:rPr>
        <w:t xml:space="preserve">ושאל </w:t>
      </w:r>
      <w:r w:rsidRPr="00C07F1D">
        <w:rPr>
          <w:rFonts w:asciiTheme="majorBidi" w:hAnsiTheme="majorBidi" w:cstheme="majorBidi"/>
          <w:b/>
          <w:bCs/>
          <w:sz w:val="28"/>
          <w:szCs w:val="28"/>
          <w:rtl/>
        </w:rPr>
        <w:t>הגר''א</w:t>
      </w:r>
      <w:r w:rsidRPr="00C07F1D">
        <w:rPr>
          <w:rFonts w:asciiTheme="majorBidi" w:hAnsiTheme="majorBidi" w:cstheme="majorBidi"/>
          <w:sz w:val="28"/>
          <w:szCs w:val="28"/>
          <w:rtl/>
        </w:rPr>
        <w:t xml:space="preserve"> </w:t>
      </w:r>
      <w:r w:rsidRPr="00C07F1D">
        <w:rPr>
          <w:rFonts w:asciiTheme="majorBidi" w:hAnsiTheme="majorBidi" w:cstheme="majorBidi"/>
          <w:sz w:val="24"/>
          <w:szCs w:val="24"/>
          <w:rtl/>
        </w:rPr>
        <w:t xml:space="preserve">(בגליון המשניות) </w:t>
      </w:r>
      <w:r w:rsidRPr="00C07F1D">
        <w:rPr>
          <w:rFonts w:asciiTheme="majorBidi" w:hAnsiTheme="majorBidi" w:cstheme="majorBidi"/>
          <w:sz w:val="28"/>
          <w:szCs w:val="28"/>
          <w:rtl/>
        </w:rPr>
        <w:t>וכי אם הרב מגמגם יגמגם גם התלמיד? וביאור קושיתו</w:t>
      </w:r>
      <w:r w:rsidRPr="00C07F1D">
        <w:rPr>
          <w:rStyle w:val="Appelnotedebasdep"/>
          <w:rFonts w:asciiTheme="majorBidi" w:hAnsiTheme="majorBidi" w:cstheme="majorBidi"/>
          <w:sz w:val="28"/>
          <w:szCs w:val="28"/>
          <w:rtl/>
        </w:rPr>
        <w:footnoteReference w:id="1"/>
      </w:r>
      <w:r w:rsidRPr="00C07F1D">
        <w:rPr>
          <w:rFonts w:asciiTheme="majorBidi" w:hAnsiTheme="majorBidi" w:cstheme="majorBidi"/>
          <w:sz w:val="28"/>
          <w:szCs w:val="28"/>
          <w:rtl/>
        </w:rPr>
        <w:t xml:space="preserve">: שענין 'חייב אדם לומר כלשון רבו'' הוא כדי לדייק בלשונו כמבואר </w:t>
      </w:r>
      <w:r w:rsidRPr="00C07F1D">
        <w:rPr>
          <w:rFonts w:asciiTheme="majorBidi" w:hAnsiTheme="majorBidi" w:cstheme="majorBidi"/>
          <w:b/>
          <w:bCs/>
          <w:sz w:val="28"/>
          <w:szCs w:val="28"/>
          <w:rtl/>
        </w:rPr>
        <w:t>בברכות</w:t>
      </w:r>
      <w:r w:rsidRPr="00C07F1D">
        <w:rPr>
          <w:rFonts w:asciiTheme="majorBidi" w:hAnsiTheme="majorBidi" w:cstheme="majorBidi"/>
          <w:sz w:val="28"/>
          <w:szCs w:val="28"/>
          <w:rtl/>
        </w:rPr>
        <w:t xml:space="preserve"> </w:t>
      </w:r>
      <w:r w:rsidRPr="00C07F1D">
        <w:rPr>
          <w:rFonts w:asciiTheme="majorBidi" w:hAnsiTheme="majorBidi" w:cstheme="majorBidi"/>
          <w:sz w:val="24"/>
          <w:szCs w:val="24"/>
          <w:rtl/>
        </w:rPr>
        <w:t xml:space="preserve">(דף לח:) </w:t>
      </w:r>
      <w:r w:rsidRPr="00C07F1D">
        <w:rPr>
          <w:rFonts w:asciiTheme="majorBidi" w:hAnsiTheme="majorBidi" w:cstheme="majorBidi"/>
          <w:b/>
          <w:bCs/>
          <w:sz w:val="28"/>
          <w:szCs w:val="28"/>
          <w:rtl/>
        </w:rPr>
        <w:t>ובערובין</w:t>
      </w:r>
      <w:r w:rsidRPr="00C07F1D">
        <w:rPr>
          <w:rFonts w:asciiTheme="majorBidi" w:hAnsiTheme="majorBidi" w:cstheme="majorBidi"/>
          <w:sz w:val="28"/>
          <w:szCs w:val="28"/>
          <w:rtl/>
        </w:rPr>
        <w:t xml:space="preserve"> </w:t>
      </w:r>
      <w:r w:rsidRPr="00C07F1D">
        <w:rPr>
          <w:rFonts w:asciiTheme="majorBidi" w:hAnsiTheme="majorBidi" w:cstheme="majorBidi"/>
          <w:sz w:val="24"/>
          <w:szCs w:val="24"/>
          <w:rtl/>
        </w:rPr>
        <w:t>(דף נג:)</w:t>
      </w:r>
      <w:r w:rsidRPr="00C07F1D">
        <w:rPr>
          <w:rFonts w:asciiTheme="majorBidi" w:hAnsiTheme="majorBidi" w:cstheme="majorBidi"/>
          <w:sz w:val="28"/>
          <w:szCs w:val="28"/>
          <w:rtl/>
        </w:rPr>
        <w:t>, וכאן נתבאר יסוד חדש:</w:t>
      </w:r>
      <w:r w:rsidRPr="00C07F1D">
        <w:rPr>
          <w:rFonts w:asciiTheme="majorBidi" w:hAnsiTheme="majorBidi" w:cstheme="majorBidi"/>
          <w:sz w:val="28"/>
          <w:szCs w:val="28"/>
        </w:rPr>
        <w:t xml:space="preserve"> </w:t>
      </w:r>
      <w:r w:rsidRPr="00C07F1D">
        <w:rPr>
          <w:rFonts w:asciiTheme="majorBidi" w:hAnsiTheme="majorBidi" w:cstheme="majorBidi"/>
          <w:sz w:val="28"/>
          <w:szCs w:val="28"/>
          <w:rtl/>
        </w:rPr>
        <w:t>שהוא גם מיסוד הדביקות ברבו לומר ממש בצורת אמיתו.</w:t>
      </w:r>
    </w:p>
    <w:p w14:paraId="031AECEB" w14:textId="77777777" w:rsidR="008B420F" w:rsidRPr="00C07F1D" w:rsidRDefault="008B420F" w:rsidP="008B420F">
      <w:pPr>
        <w:bidi/>
        <w:jc w:val="both"/>
        <w:rPr>
          <w:rFonts w:asciiTheme="majorBidi" w:hAnsiTheme="majorBidi" w:cstheme="majorBidi"/>
          <w:sz w:val="28"/>
          <w:szCs w:val="28"/>
          <w:rtl/>
        </w:rPr>
      </w:pPr>
    </w:p>
    <w:p w14:paraId="7AA57C0A" w14:textId="2E21398F" w:rsidR="008B420F" w:rsidRPr="00C07F1D" w:rsidRDefault="008B420F" w:rsidP="008B420F">
      <w:pPr>
        <w:bidi/>
        <w:jc w:val="both"/>
        <w:rPr>
          <w:rFonts w:asciiTheme="majorBidi" w:hAnsiTheme="majorBidi" w:cstheme="majorBidi"/>
          <w:sz w:val="36"/>
          <w:szCs w:val="36"/>
          <w:u w:val="single"/>
          <w:rtl/>
        </w:rPr>
      </w:pPr>
      <w:bookmarkStart w:id="0" w:name="_Hlk142588644"/>
      <w:r w:rsidRPr="00C07F1D">
        <w:rPr>
          <w:rFonts w:asciiTheme="majorBidi" w:hAnsiTheme="majorBidi" w:cstheme="majorBidi"/>
          <w:sz w:val="36"/>
          <w:szCs w:val="36"/>
          <w:u w:val="single"/>
          <w:rtl/>
        </w:rPr>
        <w:t>ראוי התלמיד להחמיר כרבו אף שאין הלכה כן</w:t>
      </w:r>
    </w:p>
    <w:bookmarkEnd w:id="0"/>
    <w:p w14:paraId="57701745" w14:textId="21B559CC" w:rsidR="00826BDC" w:rsidRDefault="008B420F" w:rsidP="00826BDC">
      <w:pPr>
        <w:bidi/>
        <w:jc w:val="both"/>
        <w:rPr>
          <w:rFonts w:asciiTheme="majorBidi" w:hAnsiTheme="majorBidi" w:cstheme="majorBidi"/>
          <w:sz w:val="28"/>
          <w:szCs w:val="28"/>
          <w:rtl/>
        </w:rPr>
      </w:pPr>
      <w:r w:rsidRPr="00C07F1D">
        <w:rPr>
          <w:rFonts w:asciiTheme="majorBidi" w:hAnsiTheme="majorBidi" w:cstheme="majorBidi"/>
          <w:sz w:val="28"/>
          <w:szCs w:val="28"/>
          <w:rtl/>
        </w:rPr>
        <w:t xml:space="preserve">מבואר </w:t>
      </w:r>
      <w:r w:rsidRPr="00C07F1D">
        <w:rPr>
          <w:rFonts w:asciiTheme="majorBidi" w:hAnsiTheme="majorBidi" w:cstheme="majorBidi"/>
          <w:b/>
          <w:bCs/>
          <w:sz w:val="28"/>
          <w:szCs w:val="28"/>
          <w:rtl/>
        </w:rPr>
        <w:t>בפמ''ג</w:t>
      </w:r>
      <w:r w:rsidRPr="00C07F1D">
        <w:rPr>
          <w:rFonts w:asciiTheme="majorBidi" w:hAnsiTheme="majorBidi" w:cstheme="majorBidi"/>
          <w:sz w:val="28"/>
          <w:szCs w:val="28"/>
          <w:rtl/>
        </w:rPr>
        <w:t xml:space="preserve"> </w:t>
      </w:r>
      <w:r w:rsidRPr="00C07F1D">
        <w:rPr>
          <w:rFonts w:asciiTheme="majorBidi" w:hAnsiTheme="majorBidi" w:cstheme="majorBidi"/>
          <w:sz w:val="24"/>
          <w:szCs w:val="24"/>
          <w:rtl/>
        </w:rPr>
        <w:t xml:space="preserve">(אורח חיים תע אשל אברהם ג) </w:t>
      </w:r>
      <w:r w:rsidR="00826BDC" w:rsidRPr="00C07F1D">
        <w:rPr>
          <w:rFonts w:asciiTheme="majorBidi" w:hAnsiTheme="majorBidi" w:cstheme="majorBidi"/>
          <w:sz w:val="28"/>
          <w:szCs w:val="28"/>
          <w:rtl/>
        </w:rPr>
        <w:t xml:space="preserve">שהוכיח מדברי </w:t>
      </w:r>
      <w:r w:rsidR="00826BDC" w:rsidRPr="00C07F1D">
        <w:rPr>
          <w:rFonts w:asciiTheme="majorBidi" w:hAnsiTheme="majorBidi" w:cstheme="majorBidi"/>
          <w:b/>
          <w:bCs/>
          <w:sz w:val="28"/>
          <w:szCs w:val="28"/>
          <w:rtl/>
        </w:rPr>
        <w:t>הירושלמי</w:t>
      </w:r>
      <w:r w:rsidR="00826BDC" w:rsidRPr="00C07F1D">
        <w:rPr>
          <w:rFonts w:asciiTheme="majorBidi" w:hAnsiTheme="majorBidi" w:cstheme="majorBidi"/>
          <w:sz w:val="28"/>
          <w:szCs w:val="28"/>
          <w:rtl/>
        </w:rPr>
        <w:t xml:space="preserve"> </w:t>
      </w:r>
      <w:r w:rsidR="00826BDC" w:rsidRPr="00C07F1D">
        <w:rPr>
          <w:rFonts w:asciiTheme="majorBidi" w:hAnsiTheme="majorBidi" w:cstheme="majorBidi"/>
          <w:sz w:val="24"/>
          <w:szCs w:val="24"/>
          <w:rtl/>
        </w:rPr>
        <w:t xml:space="preserve">(פסחים פ''י ה''א) </w:t>
      </w:r>
      <w:r w:rsidR="00826BDC" w:rsidRPr="00C07F1D">
        <w:rPr>
          <w:rFonts w:asciiTheme="majorBidi" w:hAnsiTheme="majorBidi" w:cstheme="majorBidi"/>
          <w:sz w:val="28"/>
          <w:szCs w:val="28"/>
          <w:rtl/>
        </w:rPr>
        <w:t>שראוי התלמיד להחמיר כרבו אף שאין הלכה כן.</w:t>
      </w:r>
    </w:p>
    <w:p w14:paraId="4FEBFA3D" w14:textId="77777777" w:rsidR="00293EAF" w:rsidRDefault="00293EAF" w:rsidP="00C07F1D">
      <w:pPr>
        <w:bidi/>
        <w:jc w:val="both"/>
        <w:rPr>
          <w:rFonts w:asciiTheme="majorBidi" w:hAnsiTheme="majorBidi" w:cstheme="majorBidi"/>
          <w:sz w:val="36"/>
          <w:szCs w:val="36"/>
          <w:u w:val="single"/>
        </w:rPr>
      </w:pPr>
    </w:p>
    <w:p w14:paraId="541E9DF3" w14:textId="143EFFE7" w:rsidR="00C07F1D" w:rsidRPr="00C07F1D" w:rsidRDefault="00C07F1D" w:rsidP="00293EAF">
      <w:pPr>
        <w:bidi/>
        <w:jc w:val="both"/>
        <w:rPr>
          <w:rFonts w:asciiTheme="majorBidi" w:hAnsiTheme="majorBidi" w:cstheme="majorBidi"/>
          <w:sz w:val="36"/>
          <w:szCs w:val="36"/>
          <w:u w:val="single"/>
          <w:rtl/>
        </w:rPr>
      </w:pPr>
      <w:r w:rsidRPr="00C07F1D">
        <w:rPr>
          <w:rFonts w:asciiTheme="majorBidi" w:hAnsiTheme="majorBidi" w:cstheme="majorBidi" w:hint="cs"/>
          <w:sz w:val="36"/>
          <w:szCs w:val="36"/>
          <w:u w:val="single"/>
          <w:rtl/>
        </w:rPr>
        <w:lastRenderedPageBreak/>
        <w:t>לא יבוא שום תלמיד לעומק ושורש ענין בלי רב</w:t>
      </w:r>
    </w:p>
    <w:p w14:paraId="3442D887" w14:textId="6105F7F0" w:rsidR="00C07F1D" w:rsidRDefault="00C07F1D" w:rsidP="00C07F1D">
      <w:pPr>
        <w:bidi/>
        <w:jc w:val="both"/>
        <w:rPr>
          <w:rFonts w:asciiTheme="majorBidi" w:hAnsiTheme="majorBidi" w:cstheme="majorBidi"/>
          <w:sz w:val="28"/>
          <w:szCs w:val="28"/>
          <w:rtl/>
        </w:rPr>
      </w:pPr>
      <w:r>
        <w:rPr>
          <w:rFonts w:asciiTheme="majorBidi" w:hAnsiTheme="majorBidi" w:cstheme="majorBidi" w:hint="cs"/>
          <w:sz w:val="28"/>
          <w:szCs w:val="28"/>
          <w:rtl/>
        </w:rPr>
        <w:t xml:space="preserve">כותב </w:t>
      </w:r>
      <w:r w:rsidRPr="00C07F1D">
        <w:rPr>
          <w:rFonts w:asciiTheme="majorBidi" w:hAnsiTheme="majorBidi" w:cstheme="majorBidi" w:hint="cs"/>
          <w:b/>
          <w:bCs/>
          <w:sz w:val="28"/>
          <w:szCs w:val="28"/>
          <w:rtl/>
        </w:rPr>
        <w:t>המהרש''א</w:t>
      </w:r>
      <w:r>
        <w:rPr>
          <w:rFonts w:asciiTheme="majorBidi" w:hAnsiTheme="majorBidi" w:cstheme="majorBidi" w:hint="cs"/>
          <w:sz w:val="28"/>
          <w:szCs w:val="28"/>
          <w:rtl/>
        </w:rPr>
        <w:t xml:space="preserve"> </w:t>
      </w:r>
      <w:r w:rsidRPr="00C07F1D">
        <w:rPr>
          <w:rFonts w:asciiTheme="majorBidi" w:hAnsiTheme="majorBidi" w:cstheme="majorBidi" w:hint="cs"/>
          <w:sz w:val="24"/>
          <w:szCs w:val="24"/>
          <w:rtl/>
        </w:rPr>
        <w:t xml:space="preserve">(ד''ה פעם אחת) </w:t>
      </w:r>
      <w:r w:rsidRPr="00C07F1D">
        <w:rPr>
          <w:rFonts w:asciiTheme="majorBidi" w:hAnsiTheme="majorBidi" w:cstheme="majorBidi" w:hint="cs"/>
          <w:b/>
          <w:bCs/>
          <w:sz w:val="28"/>
          <w:szCs w:val="28"/>
          <w:rtl/>
        </w:rPr>
        <w:t>בבכורות</w:t>
      </w:r>
      <w:r>
        <w:rPr>
          <w:rFonts w:asciiTheme="majorBidi" w:hAnsiTheme="majorBidi" w:cstheme="majorBidi" w:hint="cs"/>
          <w:sz w:val="28"/>
          <w:szCs w:val="28"/>
          <w:rtl/>
        </w:rPr>
        <w:t xml:space="preserve"> </w:t>
      </w:r>
      <w:r w:rsidRPr="00C07F1D">
        <w:rPr>
          <w:rFonts w:asciiTheme="majorBidi" w:hAnsiTheme="majorBidi" w:cstheme="majorBidi" w:hint="cs"/>
          <w:sz w:val="24"/>
          <w:szCs w:val="24"/>
          <w:rtl/>
        </w:rPr>
        <w:t xml:space="preserve">(דף נז:) </w:t>
      </w:r>
      <w:r>
        <w:rPr>
          <w:rFonts w:asciiTheme="majorBidi" w:hAnsiTheme="majorBidi" w:cstheme="majorBidi" w:hint="cs"/>
          <w:sz w:val="28"/>
          <w:szCs w:val="28"/>
          <w:rtl/>
        </w:rPr>
        <w:t>''וע''כ</w:t>
      </w:r>
      <w:r w:rsidRPr="00C07F1D">
        <w:rPr>
          <w:rFonts w:asciiTheme="majorBidi" w:hAnsiTheme="majorBidi" w:cstheme="majorBidi" w:hint="cs"/>
          <w:sz w:val="28"/>
          <w:szCs w:val="28"/>
          <w:rtl/>
        </w:rPr>
        <w:t xml:space="preserve"> </w:t>
      </w:r>
      <w:r>
        <w:rPr>
          <w:rFonts w:asciiTheme="majorBidi" w:hAnsiTheme="majorBidi" w:cstheme="majorBidi" w:hint="cs"/>
          <w:sz w:val="28"/>
          <w:szCs w:val="28"/>
          <w:rtl/>
        </w:rPr>
        <w:t xml:space="preserve">לא יבוא שום תלמיד לעומק ושורש ענין בלי רב המלמדו כמו </w:t>
      </w:r>
      <w:r w:rsidRPr="00C07F1D">
        <w:rPr>
          <w:rFonts w:asciiTheme="majorBidi" w:hAnsiTheme="majorBidi" w:cstheme="majorBidi" w:hint="cs"/>
          <w:b/>
          <w:bCs/>
          <w:sz w:val="28"/>
          <w:szCs w:val="28"/>
          <w:rtl/>
        </w:rPr>
        <w:t>משה ליהושע ויהושע</w:t>
      </w:r>
      <w:r>
        <w:rPr>
          <w:rFonts w:asciiTheme="majorBidi" w:hAnsiTheme="majorBidi" w:cstheme="majorBidi" w:hint="cs"/>
          <w:sz w:val="28"/>
          <w:szCs w:val="28"/>
          <w:rtl/>
        </w:rPr>
        <w:t xml:space="preserve">..'', וכן כתב </w:t>
      </w:r>
      <w:r w:rsidRPr="00C07F1D">
        <w:rPr>
          <w:rFonts w:asciiTheme="majorBidi" w:hAnsiTheme="majorBidi" w:cstheme="majorBidi" w:hint="cs"/>
          <w:b/>
          <w:bCs/>
          <w:sz w:val="28"/>
          <w:szCs w:val="28"/>
          <w:rtl/>
        </w:rPr>
        <w:t>בב''ב</w:t>
      </w:r>
      <w:r>
        <w:rPr>
          <w:rFonts w:asciiTheme="majorBidi" w:hAnsiTheme="majorBidi" w:cstheme="majorBidi" w:hint="cs"/>
          <w:sz w:val="28"/>
          <w:szCs w:val="28"/>
          <w:rtl/>
        </w:rPr>
        <w:t xml:space="preserve"> </w:t>
      </w:r>
      <w:r w:rsidRPr="00C07F1D">
        <w:rPr>
          <w:rFonts w:asciiTheme="majorBidi" w:hAnsiTheme="majorBidi" w:cstheme="majorBidi" w:hint="cs"/>
          <w:sz w:val="24"/>
          <w:szCs w:val="24"/>
          <w:rtl/>
        </w:rPr>
        <w:t xml:space="preserve">(דף עג:) </w:t>
      </w:r>
      <w:r>
        <w:rPr>
          <w:rFonts w:asciiTheme="majorBidi" w:hAnsiTheme="majorBidi" w:cstheme="majorBidi" w:hint="cs"/>
          <w:sz w:val="28"/>
          <w:szCs w:val="28"/>
          <w:rtl/>
        </w:rPr>
        <w:t xml:space="preserve">''והוא כמו שאמרו בנדרים דפלפול של תורה לא ניתן רק </w:t>
      </w:r>
      <w:r w:rsidRPr="00C07F1D">
        <w:rPr>
          <w:rFonts w:asciiTheme="majorBidi" w:hAnsiTheme="majorBidi" w:cstheme="majorBidi" w:hint="cs"/>
          <w:b/>
          <w:bCs/>
          <w:sz w:val="28"/>
          <w:szCs w:val="28"/>
          <w:rtl/>
        </w:rPr>
        <w:t>למשה</w:t>
      </w:r>
      <w:r>
        <w:rPr>
          <w:rFonts w:asciiTheme="majorBidi" w:hAnsiTheme="majorBidi" w:cstheme="majorBidi" w:hint="cs"/>
          <w:sz w:val="28"/>
          <w:szCs w:val="28"/>
          <w:rtl/>
        </w:rPr>
        <w:t xml:space="preserve"> לחוד אבל הוא בעין טוב נתן לישראל גם פלפול החכמה לקבל ממנו, וע''כ לא יבוא אדם לשורש ועומק הענין בלי רב המלמדו פלפול כמו </w:t>
      </w:r>
      <w:r w:rsidRPr="00C07F1D">
        <w:rPr>
          <w:rFonts w:asciiTheme="majorBidi" w:hAnsiTheme="majorBidi" w:cstheme="majorBidi" w:hint="cs"/>
          <w:b/>
          <w:bCs/>
          <w:sz w:val="28"/>
          <w:szCs w:val="28"/>
          <w:rtl/>
        </w:rPr>
        <w:t>משה ליהושע</w:t>
      </w:r>
      <w:r>
        <w:rPr>
          <w:rFonts w:asciiTheme="majorBidi" w:hAnsiTheme="majorBidi" w:cstheme="majorBidi" w:hint="cs"/>
          <w:sz w:val="28"/>
          <w:szCs w:val="28"/>
          <w:rtl/>
        </w:rPr>
        <w:t>''.</w:t>
      </w:r>
    </w:p>
    <w:p w14:paraId="11C7E930" w14:textId="5A0F491B" w:rsidR="00C07F1D" w:rsidRDefault="00C07F1D" w:rsidP="00C07F1D">
      <w:pPr>
        <w:bidi/>
        <w:jc w:val="both"/>
        <w:rPr>
          <w:rFonts w:asciiTheme="majorBidi" w:hAnsiTheme="majorBidi" w:cstheme="majorBidi"/>
          <w:sz w:val="28"/>
          <w:szCs w:val="28"/>
          <w:rtl/>
        </w:rPr>
      </w:pPr>
      <w:r>
        <w:rPr>
          <w:rFonts w:asciiTheme="majorBidi" w:hAnsiTheme="majorBidi" w:cstheme="majorBidi" w:hint="cs"/>
          <w:sz w:val="28"/>
          <w:szCs w:val="28"/>
          <w:rtl/>
        </w:rPr>
        <w:t xml:space="preserve">וכן כתב </w:t>
      </w:r>
      <w:r w:rsidRPr="00C07F1D">
        <w:rPr>
          <w:rFonts w:asciiTheme="majorBidi" w:hAnsiTheme="majorBidi" w:cstheme="majorBidi" w:hint="cs"/>
          <w:b/>
          <w:bCs/>
          <w:sz w:val="28"/>
          <w:szCs w:val="28"/>
          <w:rtl/>
        </w:rPr>
        <w:t>החזו''א</w:t>
      </w:r>
      <w:r>
        <w:rPr>
          <w:rFonts w:asciiTheme="majorBidi" w:hAnsiTheme="majorBidi" w:cstheme="majorBidi" w:hint="cs"/>
          <w:sz w:val="28"/>
          <w:szCs w:val="28"/>
          <w:rtl/>
        </w:rPr>
        <w:t xml:space="preserve"> </w:t>
      </w:r>
      <w:r w:rsidRPr="00C07F1D">
        <w:rPr>
          <w:rFonts w:asciiTheme="majorBidi" w:hAnsiTheme="majorBidi" w:cstheme="majorBidi" w:hint="cs"/>
          <w:sz w:val="24"/>
          <w:szCs w:val="24"/>
          <w:rtl/>
        </w:rPr>
        <w:t xml:space="preserve">(קובץ אגרות קפ''ב) </w:t>
      </w:r>
      <w:r>
        <w:rPr>
          <w:rFonts w:asciiTheme="majorBidi" w:hAnsiTheme="majorBidi" w:cstheme="majorBidi" w:hint="cs"/>
          <w:sz w:val="28"/>
          <w:szCs w:val="28"/>
          <w:rtl/>
        </w:rPr>
        <w:t>''אין חכמה בעולמנו בלתי אם עברה לנו דרך נשמת חכם חי''.</w:t>
      </w:r>
    </w:p>
    <w:p w14:paraId="721DF537" w14:textId="03798B50" w:rsidR="00C07F1D" w:rsidRPr="00C07F1D" w:rsidRDefault="00C07F1D" w:rsidP="00C07F1D">
      <w:pPr>
        <w:bidi/>
        <w:jc w:val="both"/>
        <w:rPr>
          <w:rFonts w:asciiTheme="majorBidi" w:hAnsiTheme="majorBidi" w:cstheme="majorBidi"/>
          <w:sz w:val="28"/>
          <w:szCs w:val="28"/>
          <w:rtl/>
        </w:rPr>
      </w:pPr>
    </w:p>
    <w:p w14:paraId="442625CC" w14:textId="77777777" w:rsidR="000F329A" w:rsidRPr="00741041" w:rsidRDefault="000F329A" w:rsidP="000F329A">
      <w:pPr>
        <w:bidi/>
        <w:jc w:val="both"/>
        <w:rPr>
          <w:rFonts w:ascii="Times New Roman" w:eastAsia="Calibri" w:hAnsi="Times New Roman" w:cs="Times New Roman"/>
          <w:sz w:val="36"/>
          <w:szCs w:val="36"/>
          <w:u w:val="single"/>
          <w:rtl/>
        </w:rPr>
      </w:pPr>
      <w:r w:rsidRPr="00741041">
        <w:rPr>
          <w:rFonts w:ascii="Times New Roman" w:eastAsia="Calibri" w:hAnsi="Times New Roman" w:cs="Times New Roman" w:hint="cs"/>
          <w:sz w:val="36"/>
          <w:szCs w:val="36"/>
          <w:u w:val="single"/>
          <w:rtl/>
        </w:rPr>
        <w:t>עיקר לימוד התלמיד מקבלת רבותיו הוא בן י''ח לל' כשאינו עדיין מטופל בבנים</w:t>
      </w:r>
    </w:p>
    <w:p w14:paraId="0684CE1E" w14:textId="77777777" w:rsidR="000F329A" w:rsidRDefault="000F329A" w:rsidP="000F329A">
      <w:pPr>
        <w:bidi/>
        <w:jc w:val="both"/>
        <w:rPr>
          <w:rFonts w:ascii="Times New Roman" w:eastAsia="Calibri" w:hAnsi="Times New Roman" w:cs="Times New Roman"/>
          <w:sz w:val="28"/>
          <w:szCs w:val="28"/>
        </w:rPr>
      </w:pPr>
      <w:r>
        <w:rPr>
          <w:rFonts w:ascii="Times New Roman" w:eastAsia="Calibri" w:hAnsi="Times New Roman" w:cs="Times New Roman" w:hint="cs"/>
          <w:sz w:val="28"/>
          <w:szCs w:val="28"/>
          <w:rtl/>
        </w:rPr>
        <w:t xml:space="preserve">כותב </w:t>
      </w:r>
      <w:r w:rsidRPr="00741041">
        <w:rPr>
          <w:rFonts w:ascii="Times New Roman" w:eastAsia="Calibri" w:hAnsi="Times New Roman" w:cs="Times New Roman" w:hint="cs"/>
          <w:b/>
          <w:bCs/>
          <w:sz w:val="28"/>
          <w:szCs w:val="28"/>
          <w:rtl/>
        </w:rPr>
        <w:t>המהרש''א</w:t>
      </w:r>
      <w:r>
        <w:rPr>
          <w:rFonts w:ascii="Times New Roman" w:eastAsia="Calibri" w:hAnsi="Times New Roman" w:cs="Times New Roman" w:hint="cs"/>
          <w:sz w:val="28"/>
          <w:szCs w:val="28"/>
          <w:rtl/>
        </w:rPr>
        <w:t xml:space="preserve"> </w:t>
      </w:r>
      <w:r w:rsidRPr="00741041">
        <w:rPr>
          <w:rFonts w:ascii="Times New Roman" w:eastAsia="Calibri" w:hAnsi="Times New Roman" w:cs="Times New Roman" w:hint="cs"/>
          <w:sz w:val="24"/>
          <w:szCs w:val="24"/>
          <w:rtl/>
        </w:rPr>
        <w:t xml:space="preserve">(ד''ה אזל יתיב) </w:t>
      </w:r>
      <w:r w:rsidRPr="00741041">
        <w:rPr>
          <w:rFonts w:ascii="Times New Roman" w:eastAsia="Calibri" w:hAnsi="Times New Roman" w:cs="Times New Roman" w:hint="cs"/>
          <w:b/>
          <w:bCs/>
          <w:sz w:val="28"/>
          <w:szCs w:val="28"/>
          <w:rtl/>
        </w:rPr>
        <w:t>בכתובות</w:t>
      </w:r>
      <w:r>
        <w:rPr>
          <w:rFonts w:ascii="Times New Roman" w:eastAsia="Calibri" w:hAnsi="Times New Roman" w:cs="Times New Roman" w:hint="cs"/>
          <w:sz w:val="28"/>
          <w:szCs w:val="28"/>
          <w:rtl/>
        </w:rPr>
        <w:t xml:space="preserve"> </w:t>
      </w:r>
      <w:r w:rsidRPr="00741041">
        <w:rPr>
          <w:rFonts w:ascii="Times New Roman" w:eastAsia="Calibri" w:hAnsi="Times New Roman" w:cs="Times New Roman" w:hint="cs"/>
          <w:sz w:val="24"/>
          <w:szCs w:val="24"/>
          <w:rtl/>
        </w:rPr>
        <w:t xml:space="preserve">(דף סב:) </w:t>
      </w:r>
      <w:r>
        <w:rPr>
          <w:rFonts w:ascii="Times New Roman" w:eastAsia="Calibri" w:hAnsi="Times New Roman" w:cs="Times New Roman" w:hint="cs"/>
          <w:sz w:val="28"/>
          <w:szCs w:val="28"/>
          <w:rtl/>
        </w:rPr>
        <w:t xml:space="preserve">''בכל הני דלקמן נקט הכי 'דיתבי יב' שנין', ואפשר שהן השנים מי''ח לחופה ונשואין עד בן שלושים לכח שבשנים אלו עיקר לימוד התלמיד מקבלת רבותיו כשאינו עדיין מטופל בבנים''.  </w:t>
      </w:r>
    </w:p>
    <w:p w14:paraId="642591B0" w14:textId="77777777" w:rsidR="00293EAF" w:rsidRDefault="00293EAF" w:rsidP="00293EAF">
      <w:pPr>
        <w:bidi/>
        <w:jc w:val="both"/>
        <w:rPr>
          <w:rFonts w:ascii="Times New Roman" w:eastAsia="Calibri" w:hAnsi="Times New Roman" w:cs="Times New Roman"/>
          <w:sz w:val="28"/>
          <w:szCs w:val="28"/>
        </w:rPr>
      </w:pPr>
    </w:p>
    <w:p w14:paraId="582CC94C" w14:textId="1CA8AB5B" w:rsidR="00293EAF" w:rsidRPr="00293EAF" w:rsidRDefault="00293EAF" w:rsidP="00293EAF">
      <w:pPr>
        <w:bidi/>
        <w:jc w:val="both"/>
        <w:rPr>
          <w:rFonts w:ascii="Times New Roman" w:eastAsia="Calibri" w:hAnsi="Times New Roman" w:cs="Times New Roman"/>
          <w:sz w:val="36"/>
          <w:szCs w:val="36"/>
          <w:u w:val="single"/>
          <w:rtl/>
        </w:rPr>
      </w:pPr>
      <w:r w:rsidRPr="00293EAF">
        <w:rPr>
          <w:rFonts w:ascii="Times New Roman" w:eastAsia="Calibri" w:hAnsi="Times New Roman" w:cs="Times New Roman" w:hint="cs"/>
          <w:sz w:val="36"/>
          <w:szCs w:val="36"/>
          <w:u w:val="single"/>
          <w:rtl/>
        </w:rPr>
        <w:t>גם דרך הסברא בהלכה צריך ללמוד מרב</w:t>
      </w:r>
    </w:p>
    <w:p w14:paraId="7823DA70" w14:textId="654FD004" w:rsidR="00293EAF" w:rsidRPr="00904FDA" w:rsidRDefault="00293EAF" w:rsidP="00293EAF">
      <w:pPr>
        <w:bidi/>
        <w:jc w:val="both"/>
        <w:rPr>
          <w:rFonts w:ascii="Times New Roman" w:eastAsia="Calibri" w:hAnsi="Times New Roman" w:cs="Times New Roman" w:hint="cs"/>
          <w:sz w:val="28"/>
          <w:szCs w:val="28"/>
          <w:rtl/>
        </w:rPr>
      </w:pPr>
      <w:r>
        <w:rPr>
          <w:rFonts w:ascii="Times New Roman" w:eastAsia="Calibri" w:hAnsi="Times New Roman" w:cs="Times New Roman" w:hint="cs"/>
          <w:sz w:val="28"/>
          <w:szCs w:val="28"/>
          <w:rtl/>
        </w:rPr>
        <w:t xml:space="preserve">מובא בהקדמה לספר </w:t>
      </w:r>
      <w:r w:rsidRPr="00293EAF">
        <w:rPr>
          <w:rFonts w:ascii="Times New Roman" w:eastAsia="Calibri" w:hAnsi="Times New Roman" w:cs="Times New Roman" w:hint="cs"/>
          <w:b/>
          <w:bCs/>
          <w:sz w:val="28"/>
          <w:szCs w:val="28"/>
          <w:rtl/>
        </w:rPr>
        <w:t>ברכת שמואל</w:t>
      </w:r>
      <w:r>
        <w:rPr>
          <w:rFonts w:ascii="Times New Roman" w:eastAsia="Calibri" w:hAnsi="Times New Roman" w:cs="Times New Roman" w:hint="cs"/>
          <w:sz w:val="28"/>
          <w:szCs w:val="28"/>
          <w:rtl/>
        </w:rPr>
        <w:t xml:space="preserve"> </w:t>
      </w:r>
      <w:r w:rsidRPr="00293EAF">
        <w:rPr>
          <w:rFonts w:ascii="Times New Roman" w:eastAsia="Calibri" w:hAnsi="Times New Roman" w:cs="Times New Roman" w:hint="cs"/>
          <w:sz w:val="24"/>
          <w:szCs w:val="24"/>
          <w:rtl/>
        </w:rPr>
        <w:t xml:space="preserve">(על מס' ב''מ) </w:t>
      </w:r>
      <w:r>
        <w:rPr>
          <w:rFonts w:ascii="Times New Roman" w:eastAsia="Calibri" w:hAnsi="Times New Roman" w:cs="Times New Roman" w:hint="cs"/>
          <w:sz w:val="28"/>
          <w:szCs w:val="28"/>
          <w:rtl/>
        </w:rPr>
        <w:t>שגם דרך הסברא בהלכה אינה סברת הלב שאדם אומר מעצמו, אלא הסברא והאופן איך להבין סברת הגמ' גם היא על דרך הקבלה מרבו באה, איש מפי איש עד מרע''ה, ואת זה יש צורך ללמוד מרב איך להקשות ואיך לתרץ, איך להביא ראיה ואיך לחקור חקירה ולהסתפק ספק.</w:t>
      </w:r>
    </w:p>
    <w:p w14:paraId="5C07B4CC" w14:textId="0239938D" w:rsidR="008B420F" w:rsidRPr="000F329A" w:rsidRDefault="008B420F" w:rsidP="008B420F">
      <w:pPr>
        <w:bidi/>
        <w:jc w:val="both"/>
        <w:rPr>
          <w:rFonts w:asciiTheme="majorBidi" w:hAnsiTheme="majorBidi" w:cstheme="majorBidi"/>
          <w:sz w:val="28"/>
          <w:szCs w:val="28"/>
        </w:rPr>
      </w:pPr>
    </w:p>
    <w:sectPr w:rsidR="008B420F" w:rsidRPr="000F329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F0841" w14:textId="77777777" w:rsidR="00A12BD0" w:rsidRDefault="00A12BD0" w:rsidP="008B420F">
      <w:pPr>
        <w:spacing w:after="0" w:line="240" w:lineRule="auto"/>
      </w:pPr>
      <w:r>
        <w:separator/>
      </w:r>
    </w:p>
  </w:endnote>
  <w:endnote w:type="continuationSeparator" w:id="0">
    <w:p w14:paraId="6D01E095" w14:textId="77777777" w:rsidR="00A12BD0" w:rsidRDefault="00A12BD0" w:rsidP="008B4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8D4C" w14:textId="77777777" w:rsidR="00A12BD0" w:rsidRDefault="00A12BD0" w:rsidP="008B420F">
      <w:pPr>
        <w:spacing w:after="0" w:line="240" w:lineRule="auto"/>
      </w:pPr>
      <w:r>
        <w:separator/>
      </w:r>
    </w:p>
  </w:footnote>
  <w:footnote w:type="continuationSeparator" w:id="0">
    <w:p w14:paraId="5D16E741" w14:textId="77777777" w:rsidR="00A12BD0" w:rsidRDefault="00A12BD0" w:rsidP="008B420F">
      <w:pPr>
        <w:spacing w:after="0" w:line="240" w:lineRule="auto"/>
      </w:pPr>
      <w:r>
        <w:continuationSeparator/>
      </w:r>
    </w:p>
  </w:footnote>
  <w:footnote w:id="1">
    <w:p w14:paraId="6D5FBAA2" w14:textId="77777777" w:rsidR="008B420F" w:rsidRPr="00C07F1D" w:rsidRDefault="008B420F" w:rsidP="008B420F">
      <w:pPr>
        <w:pStyle w:val="Notedebasdepage"/>
        <w:bidi/>
        <w:jc w:val="both"/>
        <w:rPr>
          <w:rFonts w:ascii="Times New Roman" w:hAnsi="Times New Roman" w:cs="Times New Roman"/>
          <w:sz w:val="18"/>
          <w:szCs w:val="18"/>
          <w:rtl/>
        </w:rPr>
      </w:pPr>
      <w:r w:rsidRPr="00C07F1D">
        <w:rPr>
          <w:rStyle w:val="Appelnotedebasdep"/>
          <w:rFonts w:ascii="Times New Roman" w:hAnsi="Times New Roman" w:cs="Times New Roman"/>
        </w:rPr>
        <w:footnoteRef/>
      </w:r>
      <w:r w:rsidRPr="00C07F1D">
        <w:rPr>
          <w:rFonts w:ascii="Times New Roman" w:hAnsi="Times New Roman" w:cs="Times New Roman"/>
        </w:rPr>
        <w:t xml:space="preserve"> </w:t>
      </w:r>
      <w:r w:rsidRPr="00C07F1D">
        <w:rPr>
          <w:rFonts w:ascii="Times New Roman" w:hAnsi="Times New Roman" w:cs="Times New Roman"/>
          <w:rtl/>
        </w:rPr>
        <w:t xml:space="preserve"> כך ביאר בספר </w:t>
      </w:r>
      <w:r w:rsidRPr="00C07F1D">
        <w:rPr>
          <w:rFonts w:ascii="Times New Roman" w:hAnsi="Times New Roman" w:cs="Times New Roman"/>
          <w:b/>
          <w:bCs/>
          <w:rtl/>
        </w:rPr>
        <w:t>והגדת</w:t>
      </w:r>
      <w:r w:rsidRPr="00C07F1D">
        <w:rPr>
          <w:rFonts w:ascii="Times New Roman" w:hAnsi="Times New Roman" w:cs="Times New Roman"/>
          <w:rtl/>
        </w:rPr>
        <w:t xml:space="preserve"> </w:t>
      </w:r>
      <w:r w:rsidRPr="00C07F1D">
        <w:rPr>
          <w:rFonts w:ascii="Times New Roman" w:hAnsi="Times New Roman" w:cs="Times New Roman"/>
          <w:sz w:val="18"/>
          <w:szCs w:val="18"/>
          <w:rtl/>
        </w:rPr>
        <w:t>(במדבר עמ' 419)</w:t>
      </w:r>
    </w:p>
    <w:p w14:paraId="21854381" w14:textId="4515B8CF" w:rsidR="008B420F" w:rsidRPr="00C07F1D" w:rsidRDefault="008B420F" w:rsidP="008B420F">
      <w:pPr>
        <w:pStyle w:val="Notedebasdepage"/>
        <w:bidi/>
        <w:jc w:val="both"/>
        <w:rPr>
          <w:rFonts w:ascii="Times New Roman" w:hAnsi="Times New Roman" w:cs="Times New Roman"/>
          <w:rtl/>
        </w:rPr>
      </w:pPr>
      <w:r w:rsidRPr="00C07F1D">
        <w:rPr>
          <w:rFonts w:ascii="Times New Roman" w:hAnsi="Times New Roman" w:cs="Times New Roman"/>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8D6"/>
    <w:rsid w:val="000F329A"/>
    <w:rsid w:val="001D0DCF"/>
    <w:rsid w:val="001D2779"/>
    <w:rsid w:val="002178D6"/>
    <w:rsid w:val="00293EAF"/>
    <w:rsid w:val="003478EE"/>
    <w:rsid w:val="00642067"/>
    <w:rsid w:val="006507A7"/>
    <w:rsid w:val="00826BDC"/>
    <w:rsid w:val="008B420F"/>
    <w:rsid w:val="00A12BD0"/>
    <w:rsid w:val="00B102F3"/>
    <w:rsid w:val="00BE0707"/>
    <w:rsid w:val="00C07F1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454F"/>
  <w15:chartTrackingRefBased/>
  <w15:docId w15:val="{855423C5-F62A-4CC5-8A53-6A334956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8B420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B420F"/>
    <w:rPr>
      <w:noProof/>
      <w:sz w:val="20"/>
      <w:szCs w:val="20"/>
    </w:rPr>
  </w:style>
  <w:style w:type="character" w:styleId="Appelnotedebasdep">
    <w:name w:val="footnote reference"/>
    <w:basedOn w:val="Policepardfaut"/>
    <w:uiPriority w:val="99"/>
    <w:semiHidden/>
    <w:unhideWhenUsed/>
    <w:rsid w:val="008B42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96AEC-4BC8-48A6-95AC-64FD72C06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454</Words>
  <Characters>2499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2023-06-14T11:41:00Z</dcterms:created>
  <dcterms:modified xsi:type="dcterms:W3CDTF">2025-06-24T09:50:00Z</dcterms:modified>
</cp:coreProperties>
</file>