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046DE0" w14:textId="28EBF65F" w:rsidR="000F5E73" w:rsidRPr="0094165C" w:rsidRDefault="00CC0BC4" w:rsidP="00CC0BC4">
      <w:pPr>
        <w:bidi/>
        <w:ind w:left="2832"/>
        <w:jc w:val="both"/>
        <w:rPr>
          <w:rFonts w:ascii="David" w:hAnsi="David" w:cs="David"/>
          <w:sz w:val="56"/>
          <w:szCs w:val="56"/>
          <w:u w:val="single"/>
          <w:rtl/>
        </w:rPr>
      </w:pPr>
      <w:r w:rsidRPr="0094165C">
        <w:rPr>
          <w:rFonts w:ascii="David" w:hAnsi="David" w:cs="David"/>
          <w:sz w:val="56"/>
          <w:szCs w:val="56"/>
          <w:u w:val="single"/>
          <w:rtl/>
        </w:rPr>
        <w:t>בענין רחמנות</w:t>
      </w:r>
    </w:p>
    <w:p w14:paraId="7F575241" w14:textId="53FB8D36" w:rsidR="00CC0BC4" w:rsidRDefault="00CC0BC4" w:rsidP="00CC0BC4">
      <w:pPr>
        <w:bidi/>
        <w:jc w:val="both"/>
        <w:rPr>
          <w:rFonts w:ascii="David" w:hAnsi="David" w:cs="David"/>
          <w:sz w:val="28"/>
          <w:szCs w:val="28"/>
          <w:rtl/>
        </w:rPr>
      </w:pPr>
    </w:p>
    <w:p w14:paraId="509063FB" w14:textId="77777777" w:rsidR="0094165C" w:rsidRPr="00E378F0" w:rsidRDefault="0094165C" w:rsidP="0094165C">
      <w:pPr>
        <w:bidi/>
        <w:jc w:val="both"/>
        <w:rPr>
          <w:rFonts w:ascii="David" w:hAnsi="David" w:cs="David"/>
          <w:sz w:val="28"/>
          <w:szCs w:val="28"/>
          <w:rtl/>
        </w:rPr>
      </w:pPr>
    </w:p>
    <w:p w14:paraId="7465255C" w14:textId="675724F8" w:rsidR="00CC0BC4" w:rsidRPr="00E378F0" w:rsidRDefault="00CC0BC4" w:rsidP="00CC0BC4">
      <w:pPr>
        <w:bidi/>
        <w:jc w:val="both"/>
        <w:rPr>
          <w:rFonts w:ascii="David" w:hAnsi="David" w:cs="David"/>
          <w:sz w:val="28"/>
          <w:szCs w:val="28"/>
          <w:rtl/>
        </w:rPr>
      </w:pPr>
    </w:p>
    <w:p w14:paraId="61F31067" w14:textId="5595BD50" w:rsidR="00E378F0" w:rsidRPr="00E378F0" w:rsidRDefault="00E378F0" w:rsidP="00E378F0">
      <w:pPr>
        <w:bidi/>
        <w:jc w:val="both"/>
        <w:rPr>
          <w:rFonts w:ascii="David" w:hAnsi="David" w:cs="David"/>
          <w:sz w:val="36"/>
          <w:szCs w:val="36"/>
          <w:u w:val="single"/>
          <w:rtl/>
        </w:rPr>
      </w:pPr>
      <w:r w:rsidRPr="00E378F0">
        <w:rPr>
          <w:rFonts w:ascii="David" w:hAnsi="David" w:cs="David" w:hint="cs"/>
          <w:sz w:val="36"/>
          <w:szCs w:val="36"/>
          <w:u w:val="single"/>
          <w:rtl/>
        </w:rPr>
        <w:t>גדר של רחמן</w:t>
      </w:r>
    </w:p>
    <w:p w14:paraId="166794FA" w14:textId="0A5B0C49" w:rsidR="000E74D4" w:rsidRPr="00E378F0" w:rsidRDefault="00CC0BC4" w:rsidP="00E378F0">
      <w:pPr>
        <w:bidi/>
        <w:jc w:val="both"/>
        <w:rPr>
          <w:rFonts w:ascii="David" w:hAnsi="David" w:cs="David"/>
          <w:sz w:val="28"/>
          <w:szCs w:val="28"/>
          <w:rtl/>
        </w:rPr>
      </w:pPr>
      <w:r w:rsidRPr="00E378F0">
        <w:rPr>
          <w:rFonts w:ascii="David" w:hAnsi="David" w:cs="David"/>
          <w:sz w:val="28"/>
          <w:szCs w:val="28"/>
          <w:rtl/>
        </w:rPr>
        <w:t xml:space="preserve">עי' בספר </w:t>
      </w:r>
      <w:r w:rsidRPr="00E378F0">
        <w:rPr>
          <w:rFonts w:ascii="David" w:hAnsi="David" w:cs="David"/>
          <w:b/>
          <w:bCs/>
          <w:sz w:val="28"/>
          <w:szCs w:val="28"/>
          <w:rtl/>
        </w:rPr>
        <w:t>ברכת פרץ</w:t>
      </w:r>
      <w:r w:rsidRPr="00E378F0">
        <w:rPr>
          <w:rFonts w:ascii="David" w:hAnsi="David" w:cs="David"/>
          <w:sz w:val="28"/>
          <w:szCs w:val="28"/>
          <w:rtl/>
        </w:rPr>
        <w:t xml:space="preserve"> על פרשת בשלח שמגדיר שרחמנות נקרא אלא במה שלא חייבתו התורה ליתן לזולת כי העושה מה שחייבה לו תורה נקרא עושה מה שחייב לעשות</w:t>
      </w:r>
      <w:r w:rsidR="000E7850" w:rsidRPr="00E378F0">
        <w:rPr>
          <w:rFonts w:ascii="David" w:hAnsi="David" w:cs="David"/>
          <w:sz w:val="28"/>
          <w:szCs w:val="28"/>
          <w:rtl/>
        </w:rPr>
        <w:t xml:space="preserve">, ומצאתי ראיה לזה ממה שהגמ' אומרת </w:t>
      </w:r>
      <w:r w:rsidR="000E7850" w:rsidRPr="00E378F0">
        <w:rPr>
          <w:rFonts w:ascii="David" w:hAnsi="David" w:cs="David"/>
          <w:b/>
          <w:bCs/>
          <w:sz w:val="28"/>
          <w:szCs w:val="28"/>
          <w:rtl/>
        </w:rPr>
        <w:t>בחולין</w:t>
      </w:r>
      <w:r w:rsidR="00E378F0">
        <w:rPr>
          <w:rFonts w:ascii="David" w:hAnsi="David" w:cs="David" w:hint="cs"/>
          <w:b/>
          <w:bCs/>
          <w:sz w:val="28"/>
          <w:szCs w:val="28"/>
          <w:rtl/>
        </w:rPr>
        <w:t xml:space="preserve"> </w:t>
      </w:r>
      <w:r w:rsidR="000E7850" w:rsidRPr="00E378F0">
        <w:rPr>
          <w:rFonts w:ascii="David" w:hAnsi="David" w:cs="David"/>
          <w:sz w:val="24"/>
          <w:szCs w:val="24"/>
          <w:rtl/>
        </w:rPr>
        <w:t xml:space="preserve">(דף עח.) </w:t>
      </w:r>
      <w:r w:rsidR="000E7850" w:rsidRPr="00E378F0">
        <w:rPr>
          <w:rFonts w:ascii="David" w:hAnsi="David" w:cs="David"/>
          <w:sz w:val="28"/>
          <w:szCs w:val="28"/>
          <w:rtl/>
        </w:rPr>
        <w:t xml:space="preserve">''כדתניא וטמא טמא יקרא צריך להודיע לרבים ורבים מבקשים עליו רחמים וכן מי שאירע בו דבר צריך להודיע לרבים ורבים מבקשים עליו רחמים'', דאע''פ שבדין האיש הזה צריך להיות מצורע, אנחנו מבקשים מהקב''ה שהתנהג אתו לפנים משורת הדין. </w:t>
      </w:r>
    </w:p>
    <w:p w14:paraId="56C80289" w14:textId="7608F9EE" w:rsidR="000E74D4" w:rsidRDefault="000E74D4" w:rsidP="000E74D4">
      <w:pPr>
        <w:bidi/>
        <w:jc w:val="both"/>
        <w:rPr>
          <w:rFonts w:ascii="David" w:hAnsi="David" w:cs="David"/>
          <w:sz w:val="28"/>
          <w:szCs w:val="28"/>
          <w:rtl/>
        </w:rPr>
      </w:pPr>
      <w:r w:rsidRPr="00E378F0">
        <w:rPr>
          <w:rFonts w:ascii="David" w:hAnsi="David" w:cs="David"/>
          <w:sz w:val="28"/>
          <w:szCs w:val="28"/>
          <w:rtl/>
        </w:rPr>
        <w:t xml:space="preserve">ועי' </w:t>
      </w:r>
      <w:r w:rsidRPr="00E378F0">
        <w:rPr>
          <w:rFonts w:ascii="David" w:hAnsi="David" w:cs="David"/>
          <w:b/>
          <w:bCs/>
          <w:sz w:val="28"/>
          <w:szCs w:val="28"/>
          <w:rtl/>
        </w:rPr>
        <w:t>ב''ב</w:t>
      </w:r>
      <w:r w:rsidR="00E378F0">
        <w:rPr>
          <w:rFonts w:ascii="David" w:hAnsi="David" w:cs="David" w:hint="cs"/>
          <w:b/>
          <w:bCs/>
          <w:sz w:val="28"/>
          <w:szCs w:val="28"/>
          <w:rtl/>
        </w:rPr>
        <w:t xml:space="preserve"> </w:t>
      </w:r>
      <w:r w:rsidRPr="00E378F0">
        <w:rPr>
          <w:rFonts w:ascii="David" w:hAnsi="David" w:cs="David"/>
          <w:sz w:val="24"/>
          <w:szCs w:val="24"/>
          <w:rtl/>
        </w:rPr>
        <w:t xml:space="preserve">(דף י.) </w:t>
      </w:r>
      <w:r w:rsidRPr="00E378F0">
        <w:rPr>
          <w:rFonts w:ascii="David" w:hAnsi="David" w:cs="David"/>
          <w:sz w:val="28"/>
          <w:szCs w:val="28"/>
          <w:rtl/>
        </w:rPr>
        <w:t>''רחמים זו צדקה''.</w:t>
      </w:r>
    </w:p>
    <w:p w14:paraId="7F84F3A0" w14:textId="0343944C" w:rsidR="00E378F0" w:rsidRDefault="007F1093" w:rsidP="00E378F0">
      <w:pPr>
        <w:bidi/>
        <w:jc w:val="both"/>
        <w:rPr>
          <w:rFonts w:ascii="David" w:hAnsi="David" w:cs="David"/>
          <w:sz w:val="28"/>
          <w:szCs w:val="28"/>
          <w:rtl/>
        </w:rPr>
      </w:pPr>
      <w:r w:rsidRPr="007F1093">
        <w:rPr>
          <w:rFonts w:ascii="David" w:hAnsi="David" w:cs="David" w:hint="cs"/>
          <w:b/>
          <w:bCs/>
          <w:sz w:val="28"/>
          <w:szCs w:val="28"/>
          <w:rtl/>
        </w:rPr>
        <w:t>והרב משה טפירו</w:t>
      </w:r>
      <w:r>
        <w:rPr>
          <w:rFonts w:ascii="David" w:hAnsi="David" w:cs="David" w:hint="cs"/>
          <w:sz w:val="28"/>
          <w:szCs w:val="28"/>
          <w:rtl/>
        </w:rPr>
        <w:t xml:space="preserve"> </w:t>
      </w:r>
      <w:r w:rsidRPr="007F1093">
        <w:rPr>
          <w:rFonts w:ascii="David" w:hAnsi="David" w:cs="David" w:hint="cs"/>
          <w:sz w:val="24"/>
          <w:szCs w:val="24"/>
          <w:rtl/>
        </w:rPr>
        <w:t xml:space="preserve">(שיעור על שבט בנימין) </w:t>
      </w:r>
      <w:r>
        <w:rPr>
          <w:rFonts w:ascii="David" w:hAnsi="David" w:cs="David" w:hint="cs"/>
          <w:sz w:val="28"/>
          <w:szCs w:val="28"/>
          <w:rtl/>
        </w:rPr>
        <w:t>הסביר שרחם, רחמים, ומחר הם אותו ענין, כי הדין פירושו שהאדם 'נענש' לפי המעשים שלו, כי במעשה העכשוי טמון התוצאה של העונש, משא''כ רחמים הוא שנותנים מחר ועתיד לחוטא, מחר שלא קשור למעשה שעשה</w:t>
      </w:r>
      <w:r>
        <w:rPr>
          <w:rStyle w:val="Appelnotedebasdep"/>
          <w:rFonts w:ascii="David" w:hAnsi="David" w:cs="David"/>
          <w:sz w:val="28"/>
          <w:szCs w:val="28"/>
          <w:rtl/>
        </w:rPr>
        <w:footnoteReference w:id="1"/>
      </w:r>
      <w:r>
        <w:rPr>
          <w:rFonts w:ascii="David" w:hAnsi="David" w:cs="David" w:hint="cs"/>
          <w:sz w:val="28"/>
          <w:szCs w:val="28"/>
          <w:rtl/>
        </w:rPr>
        <w:t>.</w:t>
      </w:r>
    </w:p>
    <w:p w14:paraId="313880BA" w14:textId="77777777" w:rsidR="007F1093" w:rsidRDefault="007F1093" w:rsidP="007F1093">
      <w:pPr>
        <w:bidi/>
        <w:jc w:val="both"/>
        <w:rPr>
          <w:rFonts w:ascii="David" w:hAnsi="David" w:cs="David"/>
          <w:sz w:val="28"/>
          <w:szCs w:val="28"/>
          <w:rtl/>
        </w:rPr>
      </w:pPr>
    </w:p>
    <w:p w14:paraId="5169122D" w14:textId="3FD23D42" w:rsidR="00E378F0" w:rsidRPr="00E378F0" w:rsidRDefault="00E378F0" w:rsidP="00E378F0">
      <w:pPr>
        <w:bidi/>
        <w:jc w:val="both"/>
        <w:rPr>
          <w:rFonts w:ascii="David" w:hAnsi="David" w:cs="David"/>
          <w:sz w:val="36"/>
          <w:szCs w:val="36"/>
          <w:u w:val="single"/>
          <w:rtl/>
        </w:rPr>
      </w:pPr>
      <w:r w:rsidRPr="00E378F0">
        <w:rPr>
          <w:rFonts w:ascii="David" w:hAnsi="David" w:cs="David" w:hint="cs"/>
          <w:sz w:val="36"/>
          <w:szCs w:val="36"/>
          <w:u w:val="single"/>
          <w:rtl/>
        </w:rPr>
        <w:t>מהו רחמן אמיתי</w:t>
      </w:r>
    </w:p>
    <w:p w14:paraId="03FDA18C" w14:textId="7655EB35" w:rsidR="00E378F0" w:rsidRDefault="00E378F0" w:rsidP="00E378F0">
      <w:pPr>
        <w:bidi/>
        <w:jc w:val="both"/>
        <w:rPr>
          <w:rFonts w:ascii="David" w:hAnsi="David" w:cs="David"/>
          <w:sz w:val="28"/>
          <w:szCs w:val="28"/>
          <w:rtl/>
        </w:rPr>
      </w:pPr>
      <w:r>
        <w:rPr>
          <w:rFonts w:ascii="David" w:hAnsi="David" w:cs="David" w:hint="cs"/>
          <w:sz w:val="28"/>
          <w:szCs w:val="28"/>
          <w:rtl/>
        </w:rPr>
        <w:t xml:space="preserve">והנה מבואר </w:t>
      </w:r>
      <w:r w:rsidRPr="00E378F0">
        <w:rPr>
          <w:rFonts w:ascii="David" w:hAnsi="David" w:cs="David" w:hint="cs"/>
          <w:b/>
          <w:bCs/>
          <w:sz w:val="28"/>
          <w:szCs w:val="28"/>
          <w:rtl/>
        </w:rPr>
        <w:t>בקהלת רבה</w:t>
      </w:r>
      <w:r>
        <w:rPr>
          <w:rFonts w:ascii="David" w:hAnsi="David" w:cs="David" w:hint="cs"/>
          <w:sz w:val="28"/>
          <w:szCs w:val="28"/>
          <w:rtl/>
        </w:rPr>
        <w:t xml:space="preserve"> </w:t>
      </w:r>
      <w:r w:rsidRPr="00E378F0">
        <w:rPr>
          <w:rFonts w:ascii="David" w:hAnsi="David" w:cs="David" w:hint="cs"/>
          <w:sz w:val="24"/>
          <w:szCs w:val="24"/>
          <w:rtl/>
        </w:rPr>
        <w:t xml:space="preserve">(ז, טז) </w:t>
      </w:r>
      <w:r>
        <w:rPr>
          <w:rFonts w:ascii="David" w:hAnsi="David" w:cs="David" w:hint="cs"/>
          <w:sz w:val="28"/>
          <w:szCs w:val="28"/>
          <w:rtl/>
        </w:rPr>
        <w:t>''</w:t>
      </w:r>
      <w:r w:rsidRPr="00E378F0">
        <w:rPr>
          <w:rFonts w:ascii="David" w:hAnsi="David" w:cs="David"/>
          <w:sz w:val="28"/>
          <w:szCs w:val="28"/>
          <w:rtl/>
        </w:rPr>
        <w:t>כל מי שנעש</w:t>
      </w:r>
      <w:r>
        <w:rPr>
          <w:rFonts w:ascii="David" w:hAnsi="David" w:cs="David" w:hint="cs"/>
          <w:sz w:val="28"/>
          <w:szCs w:val="28"/>
          <w:rtl/>
        </w:rPr>
        <w:t>ה</w:t>
      </w:r>
      <w:r w:rsidRPr="00E378F0">
        <w:rPr>
          <w:rFonts w:ascii="David" w:hAnsi="David" w:cs="David"/>
          <w:sz w:val="28"/>
          <w:szCs w:val="28"/>
          <w:rtl/>
        </w:rPr>
        <w:t xml:space="preserve"> רחמן במקום אכזרי סוף שנעשה אכזרי במקום רחמן</w:t>
      </w:r>
      <w:r>
        <w:rPr>
          <w:rFonts w:ascii="David" w:hAnsi="David" w:cs="David" w:hint="cs"/>
          <w:sz w:val="28"/>
          <w:szCs w:val="28"/>
          <w:rtl/>
        </w:rPr>
        <w:t>'', והביאור בזה נ''ל שמי שרחמן במקום אכזרי מראה שהוא לא רחמן אמיתי, דכיון שהמצב מחייב להיות אכזר עם פלוני זהו רחמנות באמת, כגון שצריך להרוג רוצח, אם מרחמים אתו נמצא שאנחנו אכזרים על כל האנשים שיהרוג אם משאירים אותו בחיים, אלא רחמן אמיתי הוא זה שרוצה את הטובה באמת.</w:t>
      </w:r>
    </w:p>
    <w:p w14:paraId="592D37BB" w14:textId="20F7E930" w:rsidR="00F00321" w:rsidRDefault="00F00321" w:rsidP="00F00321">
      <w:pPr>
        <w:bidi/>
        <w:jc w:val="both"/>
        <w:rPr>
          <w:rFonts w:ascii="David" w:hAnsi="David" w:cs="David"/>
          <w:sz w:val="28"/>
          <w:szCs w:val="28"/>
          <w:rtl/>
        </w:rPr>
      </w:pPr>
    </w:p>
    <w:p w14:paraId="61B99407" w14:textId="16EB8FD8" w:rsidR="00F00321" w:rsidRPr="00F00321" w:rsidRDefault="00F00321" w:rsidP="00F00321">
      <w:pPr>
        <w:bidi/>
        <w:jc w:val="both"/>
        <w:rPr>
          <w:rFonts w:ascii="David" w:hAnsi="David" w:cs="David"/>
          <w:sz w:val="36"/>
          <w:szCs w:val="36"/>
          <w:u w:val="single"/>
          <w:rtl/>
        </w:rPr>
      </w:pPr>
      <w:r w:rsidRPr="00F00321">
        <w:rPr>
          <w:rFonts w:ascii="David" w:hAnsi="David" w:cs="David" w:hint="cs"/>
          <w:sz w:val="36"/>
          <w:szCs w:val="36"/>
          <w:u w:val="single"/>
          <w:rtl/>
        </w:rPr>
        <w:t>יש יותר רחמים לזקנים מלבחורים</w:t>
      </w:r>
    </w:p>
    <w:p w14:paraId="425C0FF1" w14:textId="276940D7" w:rsidR="00F00321" w:rsidRPr="00F00321" w:rsidRDefault="00F00321" w:rsidP="00F00321">
      <w:pPr>
        <w:bidi/>
        <w:jc w:val="both"/>
        <w:rPr>
          <w:rFonts w:ascii="David" w:hAnsi="David" w:cs="David"/>
          <w:sz w:val="28"/>
          <w:szCs w:val="28"/>
        </w:rPr>
      </w:pPr>
      <w:r>
        <w:rPr>
          <w:rFonts w:ascii="David" w:hAnsi="David" w:cs="David" w:hint="cs"/>
          <w:sz w:val="28"/>
          <w:szCs w:val="28"/>
          <w:rtl/>
        </w:rPr>
        <w:t xml:space="preserve">עי' </w:t>
      </w:r>
      <w:r w:rsidRPr="00F00321">
        <w:rPr>
          <w:rFonts w:ascii="David" w:hAnsi="David" w:cs="David" w:hint="cs"/>
          <w:b/>
          <w:bCs/>
          <w:sz w:val="28"/>
          <w:szCs w:val="28"/>
          <w:rtl/>
        </w:rPr>
        <w:t>המהר''ל</w:t>
      </w:r>
      <w:r>
        <w:rPr>
          <w:rFonts w:ascii="David" w:hAnsi="David" w:cs="David" w:hint="cs"/>
          <w:sz w:val="28"/>
          <w:szCs w:val="28"/>
          <w:rtl/>
        </w:rPr>
        <w:t xml:space="preserve"> </w:t>
      </w:r>
      <w:r w:rsidRPr="00F00321">
        <w:rPr>
          <w:rFonts w:ascii="David" w:hAnsi="David" w:cs="David" w:hint="cs"/>
          <w:sz w:val="24"/>
          <w:szCs w:val="24"/>
          <w:rtl/>
        </w:rPr>
        <w:t>(</w:t>
      </w:r>
      <w:r w:rsidRPr="00F00321">
        <w:rPr>
          <w:rFonts w:ascii="David" w:hAnsi="David" w:cs="David"/>
          <w:sz w:val="24"/>
          <w:szCs w:val="24"/>
          <w:rtl/>
        </w:rPr>
        <w:t>חידושי אגדות</w:t>
      </w:r>
      <w:r w:rsidRPr="00F00321">
        <w:rPr>
          <w:rFonts w:ascii="David" w:hAnsi="David" w:cs="David" w:hint="cs"/>
          <w:sz w:val="24"/>
          <w:szCs w:val="24"/>
          <w:rtl/>
        </w:rPr>
        <w:t xml:space="preserve">) </w:t>
      </w:r>
      <w:r>
        <w:rPr>
          <w:rFonts w:ascii="David" w:hAnsi="David" w:cs="David" w:hint="cs"/>
          <w:sz w:val="28"/>
          <w:szCs w:val="28"/>
          <w:rtl/>
        </w:rPr>
        <w:t xml:space="preserve">על </w:t>
      </w:r>
      <w:r w:rsidRPr="00F00321">
        <w:rPr>
          <w:rFonts w:ascii="David" w:hAnsi="David" w:cs="David"/>
          <w:b/>
          <w:bCs/>
          <w:sz w:val="28"/>
          <w:szCs w:val="28"/>
          <w:rtl/>
        </w:rPr>
        <w:t>שבת</w:t>
      </w:r>
      <w:r w:rsidRPr="00F00321">
        <w:rPr>
          <w:rFonts w:ascii="David" w:hAnsi="David" w:cs="David"/>
          <w:sz w:val="28"/>
          <w:szCs w:val="28"/>
          <w:rtl/>
        </w:rPr>
        <w:t xml:space="preserve"> </w:t>
      </w:r>
      <w:r w:rsidRPr="00F00321">
        <w:rPr>
          <w:rFonts w:ascii="David" w:hAnsi="David" w:cs="David" w:hint="cs"/>
          <w:sz w:val="24"/>
          <w:szCs w:val="24"/>
          <w:rtl/>
        </w:rPr>
        <w:t>(</w:t>
      </w:r>
      <w:r w:rsidRPr="00F00321">
        <w:rPr>
          <w:rFonts w:ascii="David" w:hAnsi="David" w:cs="David"/>
          <w:sz w:val="24"/>
          <w:szCs w:val="24"/>
          <w:rtl/>
        </w:rPr>
        <w:t>דף לג</w:t>
      </w:r>
      <w:r w:rsidRPr="00F00321">
        <w:rPr>
          <w:rFonts w:ascii="David" w:hAnsi="David" w:cs="David" w:hint="cs"/>
          <w:sz w:val="24"/>
          <w:szCs w:val="24"/>
          <w:rtl/>
        </w:rPr>
        <w:t xml:space="preserve">:) </w:t>
      </w:r>
      <w:r>
        <w:rPr>
          <w:rFonts w:ascii="David" w:hAnsi="David" w:cs="David" w:hint="cs"/>
          <w:sz w:val="28"/>
          <w:szCs w:val="28"/>
          <w:rtl/>
        </w:rPr>
        <w:t>שכותב ''</w:t>
      </w:r>
      <w:r w:rsidRPr="00F00321">
        <w:rPr>
          <w:rFonts w:ascii="David" w:hAnsi="David" w:cs="David"/>
          <w:sz w:val="28"/>
          <w:szCs w:val="28"/>
          <w:rtl/>
        </w:rPr>
        <w:t>מפני שהזקינים נמצא בהם הרחמים יותר ממה שנמצא בבחורים שיש בהם מדת הדין</w:t>
      </w:r>
      <w:r>
        <w:rPr>
          <w:rFonts w:ascii="David" w:hAnsi="David" w:cs="David" w:hint="cs"/>
          <w:sz w:val="28"/>
          <w:szCs w:val="28"/>
          <w:rtl/>
        </w:rPr>
        <w:t>''</w:t>
      </w:r>
      <w:r w:rsidRPr="00F00321">
        <w:rPr>
          <w:rFonts w:ascii="David" w:hAnsi="David" w:cs="David"/>
          <w:sz w:val="28"/>
          <w:szCs w:val="28"/>
          <w:rtl/>
        </w:rPr>
        <w:t>.</w:t>
      </w:r>
    </w:p>
    <w:p w14:paraId="785879B0" w14:textId="77777777" w:rsidR="00F00321" w:rsidRPr="00F832E7" w:rsidRDefault="00F00321" w:rsidP="00F00321">
      <w:pPr>
        <w:bidi/>
        <w:jc w:val="both"/>
        <w:rPr>
          <w:rFonts w:ascii="David" w:hAnsi="David" w:cs="David"/>
          <w:sz w:val="28"/>
          <w:szCs w:val="28"/>
        </w:rPr>
      </w:pPr>
    </w:p>
    <w:p w14:paraId="461556E7" w14:textId="77777777" w:rsidR="00E378F0" w:rsidRPr="00E378F0" w:rsidRDefault="00E378F0" w:rsidP="00E378F0">
      <w:pPr>
        <w:bidi/>
        <w:jc w:val="both"/>
        <w:rPr>
          <w:rFonts w:ascii="David" w:hAnsi="David" w:cs="David"/>
          <w:sz w:val="28"/>
          <w:szCs w:val="28"/>
          <w:rtl/>
        </w:rPr>
      </w:pPr>
    </w:p>
    <w:sectPr w:rsidR="00E378F0" w:rsidRPr="00E378F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A0B881" w14:textId="77777777" w:rsidR="003823D0" w:rsidRDefault="003823D0" w:rsidP="007F1093">
      <w:pPr>
        <w:spacing w:after="0" w:line="240" w:lineRule="auto"/>
      </w:pPr>
      <w:r>
        <w:separator/>
      </w:r>
    </w:p>
  </w:endnote>
  <w:endnote w:type="continuationSeparator" w:id="0">
    <w:p w14:paraId="454DA93A" w14:textId="77777777" w:rsidR="003823D0" w:rsidRDefault="003823D0" w:rsidP="007F10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A2D1F2" w14:textId="77777777" w:rsidR="003823D0" w:rsidRDefault="003823D0" w:rsidP="007F1093">
      <w:pPr>
        <w:spacing w:after="0" w:line="240" w:lineRule="auto"/>
      </w:pPr>
      <w:r>
        <w:separator/>
      </w:r>
    </w:p>
  </w:footnote>
  <w:footnote w:type="continuationSeparator" w:id="0">
    <w:p w14:paraId="3FBD9EF4" w14:textId="77777777" w:rsidR="003823D0" w:rsidRDefault="003823D0" w:rsidP="007F1093">
      <w:pPr>
        <w:spacing w:after="0" w:line="240" w:lineRule="auto"/>
      </w:pPr>
      <w:r>
        <w:continuationSeparator/>
      </w:r>
    </w:p>
  </w:footnote>
  <w:footnote w:id="1">
    <w:p w14:paraId="529CD265" w14:textId="0FA3BC26" w:rsidR="007F1093" w:rsidRPr="007F1093" w:rsidRDefault="007F1093" w:rsidP="007F1093">
      <w:pPr>
        <w:pStyle w:val="Notedebasdepage"/>
        <w:bidi/>
        <w:jc w:val="both"/>
        <w:rPr>
          <w:rFonts w:ascii="David" w:hAnsi="David" w:cs="David"/>
          <w:rtl/>
        </w:rPr>
      </w:pPr>
      <w:r w:rsidRPr="007F1093">
        <w:rPr>
          <w:rStyle w:val="Appelnotedebasdep"/>
          <w:rFonts w:ascii="David" w:hAnsi="David" w:cs="David"/>
        </w:rPr>
        <w:footnoteRef/>
      </w:r>
      <w:r w:rsidRPr="007F1093">
        <w:rPr>
          <w:rFonts w:ascii="David" w:hAnsi="David" w:cs="David"/>
        </w:rPr>
        <w:t xml:space="preserve"> </w:t>
      </w:r>
      <w:r w:rsidRPr="007F1093">
        <w:rPr>
          <w:rFonts w:ascii="David" w:hAnsi="David" w:cs="David"/>
          <w:rtl/>
        </w:rPr>
        <w:t xml:space="preserve"> ורחם הוא האבר שעל ידו אפשר להוליד ולתת מחר ועתיד למשהו.</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BC4"/>
    <w:rsid w:val="000E74D4"/>
    <w:rsid w:val="000E7850"/>
    <w:rsid w:val="000F5E73"/>
    <w:rsid w:val="003823D0"/>
    <w:rsid w:val="007F1093"/>
    <w:rsid w:val="0094165C"/>
    <w:rsid w:val="00963D38"/>
    <w:rsid w:val="00CC0BC4"/>
    <w:rsid w:val="00E378F0"/>
    <w:rsid w:val="00F00321"/>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D8D06"/>
  <w15:chartTrackingRefBased/>
  <w15:docId w15:val="{F4F30F56-5A7B-4675-9320-78A453D01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basedOn w:val="Normal"/>
    <w:link w:val="NotedebasdepageCar"/>
    <w:uiPriority w:val="99"/>
    <w:semiHidden/>
    <w:unhideWhenUsed/>
    <w:rsid w:val="007F1093"/>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7F1093"/>
    <w:rPr>
      <w:noProof/>
      <w:sz w:val="20"/>
      <w:szCs w:val="20"/>
    </w:rPr>
  </w:style>
  <w:style w:type="character" w:styleId="Appelnotedebasdep">
    <w:name w:val="footnote reference"/>
    <w:basedOn w:val="Policepardfaut"/>
    <w:uiPriority w:val="99"/>
    <w:semiHidden/>
    <w:unhideWhenUsed/>
    <w:rsid w:val="007F109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87C1EB-7F9E-4B5C-854A-CBA6545952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Pages>
  <Words>188</Words>
  <Characters>1035</Characters>
  <Application>Microsoft Office Word</Application>
  <DocSecurity>0</DocSecurity>
  <Lines>8</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10</cp:revision>
  <dcterms:created xsi:type="dcterms:W3CDTF">2022-01-24T06:03:00Z</dcterms:created>
  <dcterms:modified xsi:type="dcterms:W3CDTF">2024-03-10T19:07:00Z</dcterms:modified>
</cp:coreProperties>
</file>