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5E2A" w14:textId="745AD8C5" w:rsidR="005D4876" w:rsidRPr="0005355D" w:rsidRDefault="001B26F3" w:rsidP="001B26F3">
      <w:pPr>
        <w:bidi/>
        <w:ind w:left="3540"/>
        <w:jc w:val="both"/>
        <w:rPr>
          <w:rFonts w:ascii="Times New Roman" w:hAnsi="Times New Roman" w:cs="Times New Roman"/>
          <w:sz w:val="56"/>
          <w:szCs w:val="56"/>
          <w:u w:val="single"/>
          <w:rtl/>
        </w:rPr>
      </w:pPr>
      <w:r w:rsidRPr="0005355D">
        <w:rPr>
          <w:rFonts w:ascii="Times New Roman" w:hAnsi="Times New Roman" w:cs="Times New Roman"/>
          <w:sz w:val="56"/>
          <w:szCs w:val="56"/>
          <w:u w:val="single"/>
          <w:rtl/>
        </w:rPr>
        <w:t>רשע</w:t>
      </w:r>
    </w:p>
    <w:p w14:paraId="3CC42B4E" w14:textId="4CBE1A7D" w:rsidR="001B26F3" w:rsidRPr="0005355D" w:rsidRDefault="001B26F3" w:rsidP="001B26F3">
      <w:pPr>
        <w:bidi/>
        <w:jc w:val="both"/>
        <w:rPr>
          <w:rFonts w:ascii="Times New Roman" w:hAnsi="Times New Roman" w:cs="Times New Roman"/>
          <w:sz w:val="28"/>
          <w:szCs w:val="28"/>
          <w:rtl/>
        </w:rPr>
      </w:pPr>
    </w:p>
    <w:p w14:paraId="340B0E5E" w14:textId="273307A3" w:rsidR="001B26F3" w:rsidRPr="0005355D" w:rsidRDefault="001B26F3" w:rsidP="001B26F3">
      <w:pPr>
        <w:bidi/>
        <w:jc w:val="both"/>
        <w:rPr>
          <w:rFonts w:ascii="Times New Roman" w:hAnsi="Times New Roman" w:cs="Times New Roman"/>
          <w:sz w:val="28"/>
          <w:szCs w:val="28"/>
          <w:rtl/>
        </w:rPr>
      </w:pPr>
    </w:p>
    <w:p w14:paraId="6BB8C9BC" w14:textId="18112108" w:rsidR="001B26F3" w:rsidRPr="0005355D" w:rsidRDefault="0072122C" w:rsidP="001B26F3">
      <w:pPr>
        <w:bidi/>
        <w:jc w:val="both"/>
        <w:rPr>
          <w:rFonts w:ascii="Times New Roman" w:hAnsi="Times New Roman" w:cs="Times New Roman"/>
          <w:sz w:val="36"/>
          <w:szCs w:val="36"/>
          <w:u w:val="single"/>
          <w:rtl/>
        </w:rPr>
      </w:pPr>
      <w:r w:rsidRPr="0005355D">
        <w:rPr>
          <w:rFonts w:ascii="Times New Roman" w:hAnsi="Times New Roman" w:cs="Times New Roman"/>
          <w:sz w:val="36"/>
          <w:szCs w:val="36"/>
          <w:u w:val="single"/>
          <w:rtl/>
        </w:rPr>
        <w:t>טבעם לא ישתנה אפי' בעולם האמת</w:t>
      </w:r>
    </w:p>
    <w:p w14:paraId="0AEFE615" w14:textId="2F8120D5" w:rsidR="001B26F3" w:rsidRPr="0005355D" w:rsidRDefault="001B26F3" w:rsidP="001B26F3">
      <w:pPr>
        <w:bidi/>
        <w:jc w:val="both"/>
        <w:rPr>
          <w:rFonts w:ascii="Times New Roman" w:hAnsi="Times New Roman" w:cs="Times New Roman"/>
          <w:sz w:val="28"/>
          <w:szCs w:val="28"/>
          <w:rtl/>
        </w:rPr>
      </w:pPr>
      <w:r w:rsidRPr="0005355D">
        <w:rPr>
          <w:rFonts w:ascii="Times New Roman" w:hAnsi="Times New Roman" w:cs="Times New Roman"/>
          <w:sz w:val="28"/>
          <w:szCs w:val="28"/>
          <w:rtl/>
        </w:rPr>
        <w:t xml:space="preserve">עי' בספר </w:t>
      </w:r>
      <w:r w:rsidRPr="0005355D">
        <w:rPr>
          <w:rFonts w:ascii="Times New Roman" w:hAnsi="Times New Roman" w:cs="Times New Roman"/>
          <w:b/>
          <w:bCs/>
          <w:sz w:val="28"/>
          <w:szCs w:val="28"/>
          <w:rtl/>
        </w:rPr>
        <w:t>ברכת פרץ</w:t>
      </w:r>
      <w:r w:rsidRPr="0005355D">
        <w:rPr>
          <w:rFonts w:ascii="Times New Roman" w:hAnsi="Times New Roman" w:cs="Times New Roman"/>
          <w:sz w:val="28"/>
          <w:szCs w:val="28"/>
          <w:rtl/>
        </w:rPr>
        <w:t xml:space="preserve"> על שבת הגדול שכותב שהרשעים ששונאים את התורה בעולם הזה, גם כשימותו ויגיעו לעולם האמת ויכירו עליונתה של התורה, מ''מ טבעם לא ישתנה וישנאו עדיין את התורה ולומדיה, ומאוד מאוד יתאווה לחיי ההוללות של פריקת עול ובתי טיטראות וכיוצא בזה, ולחיות חיי תורה יהיה אצלו בגדר גהינם.   </w:t>
      </w:r>
    </w:p>
    <w:p w14:paraId="43E8152D" w14:textId="77777777" w:rsidR="0072122C" w:rsidRPr="0005355D" w:rsidRDefault="0072122C" w:rsidP="0072122C">
      <w:pPr>
        <w:bidi/>
        <w:jc w:val="both"/>
        <w:rPr>
          <w:rFonts w:ascii="Times New Roman" w:hAnsi="Times New Roman" w:cs="Times New Roman"/>
          <w:sz w:val="28"/>
          <w:szCs w:val="28"/>
          <w:rtl/>
        </w:rPr>
      </w:pPr>
    </w:p>
    <w:p w14:paraId="309D954D" w14:textId="73CE1427" w:rsidR="0072122C" w:rsidRPr="0005355D" w:rsidRDefault="0072122C" w:rsidP="0072122C">
      <w:pPr>
        <w:bidi/>
        <w:jc w:val="both"/>
        <w:rPr>
          <w:rFonts w:ascii="Times New Roman" w:hAnsi="Times New Roman" w:cs="Times New Roman"/>
          <w:sz w:val="36"/>
          <w:szCs w:val="36"/>
          <w:u w:val="single"/>
          <w:rtl/>
        </w:rPr>
      </w:pPr>
      <w:r w:rsidRPr="0005355D">
        <w:rPr>
          <w:rFonts w:ascii="Times New Roman" w:hAnsi="Times New Roman" w:cs="Times New Roman"/>
          <w:sz w:val="36"/>
          <w:szCs w:val="36"/>
          <w:u w:val="single"/>
          <w:rtl/>
        </w:rPr>
        <w:t>נקרא בשם רשע כאשר נכנס לגבול חבירו בתוקף</w:t>
      </w:r>
    </w:p>
    <w:p w14:paraId="0B30ECC9" w14:textId="77777777" w:rsidR="0072122C" w:rsidRPr="0005355D" w:rsidRDefault="0072122C" w:rsidP="0072122C">
      <w:pPr>
        <w:bidi/>
        <w:jc w:val="both"/>
        <w:rPr>
          <w:rFonts w:ascii="Times New Roman" w:eastAsia="Rockwell" w:hAnsi="Times New Roman" w:cs="Times New Roman"/>
          <w:sz w:val="28"/>
          <w:szCs w:val="28"/>
          <w:rtl/>
        </w:rPr>
      </w:pPr>
      <w:r w:rsidRPr="0005355D">
        <w:rPr>
          <w:rFonts w:ascii="Times New Roman" w:eastAsia="Rockwell" w:hAnsi="Times New Roman" w:cs="Times New Roman"/>
          <w:sz w:val="28"/>
          <w:szCs w:val="28"/>
          <w:rtl/>
        </w:rPr>
        <w:t xml:space="preserve">עי' </w:t>
      </w:r>
      <w:r w:rsidRPr="0005355D">
        <w:rPr>
          <w:rFonts w:ascii="Times New Roman" w:eastAsia="Rockwell" w:hAnsi="Times New Roman" w:cs="Times New Roman"/>
          <w:b/>
          <w:bCs/>
          <w:sz w:val="28"/>
          <w:szCs w:val="28"/>
          <w:rtl/>
        </w:rPr>
        <w:t>המהר''ל</w:t>
      </w:r>
      <w:r w:rsidRPr="0005355D">
        <w:rPr>
          <w:rFonts w:ascii="Times New Roman" w:eastAsia="Rockwell" w:hAnsi="Times New Roman" w:cs="Times New Roman"/>
          <w:sz w:val="28"/>
          <w:szCs w:val="28"/>
          <w:rtl/>
        </w:rPr>
        <w:t xml:space="preserve"> </w:t>
      </w:r>
      <w:r w:rsidRPr="0005355D">
        <w:rPr>
          <w:rFonts w:ascii="Times New Roman" w:eastAsia="Rockwell" w:hAnsi="Times New Roman" w:cs="Times New Roman"/>
          <w:sz w:val="24"/>
          <w:szCs w:val="24"/>
          <w:rtl/>
        </w:rPr>
        <w:t xml:space="preserve">(נתיבות עולם נתיב הצדק פרק ג) </w:t>
      </w:r>
      <w:r w:rsidRPr="0005355D">
        <w:rPr>
          <w:rFonts w:ascii="Times New Roman" w:eastAsia="Rockwell" w:hAnsi="Times New Roman" w:cs="Times New Roman"/>
          <w:sz w:val="28"/>
          <w:szCs w:val="28"/>
          <w:rtl/>
        </w:rPr>
        <w:t>שכותב ''גדר הרשע כאשר הוא יוצא בתוקף ובזרוע רמה שלו נכנס לגבול חבירו, תכף ומיד נקרא רשע, כי במה שיוצא לגבול אחר בזה הוא רשע שהוא בכח זרוע שלו נכנס לגבול אחר.</w:t>
      </w:r>
    </w:p>
    <w:p w14:paraId="6EF89071" w14:textId="77777777" w:rsidR="0072122C" w:rsidRPr="0005355D" w:rsidRDefault="0072122C" w:rsidP="0072122C">
      <w:pPr>
        <w:bidi/>
        <w:jc w:val="both"/>
        <w:rPr>
          <w:rFonts w:ascii="Times New Roman" w:eastAsia="Rockwell" w:hAnsi="Times New Roman" w:cs="Times New Roman"/>
          <w:sz w:val="28"/>
          <w:szCs w:val="28"/>
          <w:rtl/>
        </w:rPr>
      </w:pPr>
      <w:r w:rsidRPr="0005355D">
        <w:rPr>
          <w:rFonts w:ascii="Times New Roman" w:eastAsia="Rockwell" w:hAnsi="Times New Roman" w:cs="Times New Roman"/>
          <w:sz w:val="28"/>
          <w:szCs w:val="28"/>
          <w:rtl/>
        </w:rPr>
        <w:t xml:space="preserve">ובפרק שלישי </w:t>
      </w:r>
      <w:r w:rsidRPr="0005355D">
        <w:rPr>
          <w:rFonts w:ascii="Times New Roman" w:eastAsia="Rockwell" w:hAnsi="Times New Roman" w:cs="Times New Roman"/>
          <w:b/>
          <w:bCs/>
          <w:sz w:val="28"/>
          <w:szCs w:val="28"/>
          <w:rtl/>
        </w:rPr>
        <w:t>דקידושין</w:t>
      </w:r>
      <w:r w:rsidRPr="0005355D">
        <w:rPr>
          <w:rFonts w:ascii="Times New Roman" w:eastAsia="Rockwell" w:hAnsi="Times New Roman" w:cs="Times New Roman"/>
          <w:sz w:val="28"/>
          <w:szCs w:val="28"/>
          <w:rtl/>
        </w:rPr>
        <w:t xml:space="preserve"> </w:t>
      </w:r>
      <w:r w:rsidRPr="0005355D">
        <w:rPr>
          <w:rFonts w:ascii="Times New Roman" w:eastAsia="Rockwell" w:hAnsi="Times New Roman" w:cs="Times New Roman"/>
          <w:sz w:val="24"/>
          <w:szCs w:val="24"/>
          <w:rtl/>
        </w:rPr>
        <w:t xml:space="preserve">(דף נ"ט.) </w:t>
      </w:r>
      <w:r w:rsidRPr="0005355D">
        <w:rPr>
          <w:rFonts w:ascii="Times New Roman" w:eastAsia="Rockwell" w:hAnsi="Times New Roman" w:cs="Times New Roman"/>
          <w:sz w:val="28"/>
          <w:szCs w:val="28"/>
          <w:rtl/>
        </w:rPr>
        <w:t>''רב גידל הוה מהפך בארעא אזל ר' אבא זבנא אזל רב גידל קבליה לר' זירא אזל ר' זירא וקבליה לר' יצחק נפחא אמר ליה המתן עד שיעלה עמנו לרגל כי סליק אשכחיה אמר ליה עני המהפך בחררה ובא אחר ונוטל הימנו מאי אמר ליה נקרא רשע ואלא מר מאי טעמא עביד הכי אמר ליה לא ידעתי השתא נמי נהדר ניהליה אמר ליה זבוני לא מזבני לה דארעא קמייתא הוא לא מסמנא מלתא איבעי במתנה שקלה רב גידל לא נחית לה דכתיב שונא מתנות יחיה ר' אבא לא נחית לה משום שהפך בה רב גידל מר לא נחית לה ומר לא נחית לה ומתקריא ארעא דרבנן''.</w:t>
      </w:r>
    </w:p>
    <w:p w14:paraId="3D2D6B7D" w14:textId="50CA2C72" w:rsidR="0072122C" w:rsidRDefault="0072122C" w:rsidP="0072122C">
      <w:pPr>
        <w:bidi/>
        <w:jc w:val="both"/>
        <w:rPr>
          <w:rFonts w:ascii="Times New Roman" w:eastAsia="Rockwell" w:hAnsi="Times New Roman" w:cs="Times New Roman"/>
          <w:sz w:val="28"/>
          <w:szCs w:val="28"/>
          <w:rtl/>
        </w:rPr>
      </w:pPr>
      <w:r w:rsidRPr="0005355D">
        <w:rPr>
          <w:rFonts w:ascii="Times New Roman" w:eastAsia="Rockwell" w:hAnsi="Times New Roman" w:cs="Times New Roman"/>
          <w:sz w:val="28"/>
          <w:szCs w:val="28"/>
          <w:rtl/>
        </w:rPr>
        <w:t xml:space="preserve">במאמר הזה בא לבאר לך שם רשע על מה נופל, והיינו מי שמתפשט בכח שלו יותר מן הראוי ונכנס לגבול אחר בכח שלו. ולכך נקרא רשע כי הש"י ברא את האדם וחלק פרנסה לכל אחד ואחד, ולא ברא השם ית' שיהיו שנים מתפרנסים מדבר אחד רק שיהיה לכל אחד פרנסה מיוחדת, ואפילו שתי שערות אינם מתפרנסים ממקום אחד, כדאיתא בפ"ק דבתרא (ט"ז, א') אמר הקדוש ברוך הוא לאיוב הרבה נימין בראתי וכל אחד בראתי לו גומא בפני עצמה שלא יינקו שתים מגומא אחת שאלמלי יונקות מגומא אחת מחשכות מאור עינו של אדם וכו'. ואם השם ית' נתן לכל שער ושער יניקה בפני עצמה כ"ש וק"ו שהש"י נתן לכל אדם יניקה בפני עצמו, וכדאמרינן במסכת יומא (ל"ח, א') מכאן אמר בן עזאי בשמך יקראוך ובמקומך יושיבוך משלך יתנו לך אין אדם נוגע במוכן לחבירו ואין מלכות נוגעת בחברתה, פי' ענין זה כי הש"י סידר לכל אחד ואחד את שהוא ראוי לו ואין אדם נוגע במוכן לחבירו אשר סידר הש"י אליו, ואם הוא נוגע במוכן לחברו הרי נחשב זה כמו גזילה, ולפיכך עני המהפך בחררה דבר זה הוא מוכן לחבירו ואם נוטלו אין זה רק מצד שנוטל בכח וזרוע רמה שלו כמו שאמרנו ולכך נקרא רשע אשר יש לו זרוע רמה. ואמר אחריו ואין מלכות נוגעת בחברתה, כי כשם שהש"י סידר פרטי המין דהיינו כל אחד ואחד מה שראוי לו ואין אחד נוגע במוכן לחבירו, כך סידר כלל הדור שנתן להם מלך והוא סידר כלל הדור ג"כ בפני עצמו ואין מלכות נוגעת בחברתה, ושני דברים אלו הם שוים, האחד סדר הפרטי והשני סדר הדור בכללו. ולפיכך מי שהיה מהפך לקנות </w:t>
      </w:r>
      <w:r w:rsidRPr="0005355D">
        <w:rPr>
          <w:rFonts w:ascii="Times New Roman" w:eastAsia="Rockwell" w:hAnsi="Times New Roman" w:cs="Times New Roman"/>
          <w:sz w:val="28"/>
          <w:szCs w:val="28"/>
          <w:rtl/>
        </w:rPr>
        <w:lastRenderedPageBreak/>
        <w:t>ואחר יורד לקנות נקרא רשע לפי שהוא נכנס בגבול חבירו, ומצד אחד יותר קשה כאשר הוא נכנס בגבול אחר מן הגזל, כי זה משנה סדר הש"י מה שחלק אל כל בריה''.</w:t>
      </w:r>
    </w:p>
    <w:p w14:paraId="4C6D393F" w14:textId="77777777" w:rsidR="0005355D" w:rsidRDefault="0005355D" w:rsidP="0005355D">
      <w:pPr>
        <w:bidi/>
        <w:jc w:val="both"/>
        <w:rPr>
          <w:rFonts w:ascii="Times New Roman" w:eastAsia="Rockwell" w:hAnsi="Times New Roman" w:cs="Times New Roman"/>
          <w:sz w:val="28"/>
          <w:szCs w:val="28"/>
          <w:rtl/>
        </w:rPr>
      </w:pPr>
    </w:p>
    <w:p w14:paraId="6E87238E" w14:textId="42660222" w:rsidR="0005355D" w:rsidRPr="0005355D" w:rsidRDefault="0005355D" w:rsidP="0005355D">
      <w:pPr>
        <w:bidi/>
        <w:jc w:val="both"/>
        <w:rPr>
          <w:rFonts w:ascii="Times New Roman" w:eastAsia="Rockwell" w:hAnsi="Times New Roman" w:cs="Times New Roman"/>
          <w:sz w:val="36"/>
          <w:szCs w:val="36"/>
          <w:u w:val="single"/>
          <w:rtl/>
        </w:rPr>
      </w:pPr>
      <w:r w:rsidRPr="0005355D">
        <w:rPr>
          <w:rFonts w:ascii="Times New Roman" w:eastAsia="Rockwell" w:hAnsi="Times New Roman" w:cs="Times New Roman" w:hint="cs"/>
          <w:sz w:val="36"/>
          <w:szCs w:val="36"/>
          <w:u w:val="single"/>
          <w:rtl/>
        </w:rPr>
        <w:t>בזמנינו מצוה לאהוב את הרשעים</w:t>
      </w:r>
    </w:p>
    <w:p w14:paraId="37DAF48A" w14:textId="4683631F" w:rsidR="0005355D" w:rsidRPr="0005355D" w:rsidRDefault="0005355D" w:rsidP="0005355D">
      <w:pPr>
        <w:bidi/>
        <w:jc w:val="both"/>
        <w:rPr>
          <w:rFonts w:ascii="Times New Roman" w:hAnsi="Times New Roman" w:cs="Times New Roman"/>
          <w:sz w:val="28"/>
          <w:szCs w:val="28"/>
        </w:rPr>
      </w:pPr>
      <w:r>
        <w:rPr>
          <w:rFonts w:ascii="Times New Roman" w:eastAsia="Rockwell" w:hAnsi="Times New Roman" w:cs="Times New Roman" w:hint="cs"/>
          <w:sz w:val="28"/>
          <w:szCs w:val="28"/>
          <w:rtl/>
        </w:rPr>
        <w:t xml:space="preserve">והנה, אע''פ שמבואר </w:t>
      </w:r>
      <w:r w:rsidRPr="0005355D">
        <w:rPr>
          <w:rFonts w:ascii="Times New Roman" w:eastAsia="Rockwell" w:hAnsi="Times New Roman" w:cs="Times New Roman" w:hint="cs"/>
          <w:b/>
          <w:bCs/>
          <w:sz w:val="28"/>
          <w:szCs w:val="28"/>
          <w:rtl/>
        </w:rPr>
        <w:t>בפסחים</w:t>
      </w:r>
      <w:r>
        <w:rPr>
          <w:rFonts w:ascii="Times New Roman" w:eastAsia="Rockwell" w:hAnsi="Times New Roman" w:cs="Times New Roman" w:hint="cs"/>
          <w:sz w:val="28"/>
          <w:szCs w:val="28"/>
          <w:rtl/>
        </w:rPr>
        <w:t xml:space="preserve"> </w:t>
      </w:r>
      <w:r w:rsidRPr="0005355D">
        <w:rPr>
          <w:rFonts w:ascii="Times New Roman" w:eastAsia="Rockwell" w:hAnsi="Times New Roman" w:cs="Times New Roman" w:hint="cs"/>
          <w:sz w:val="24"/>
          <w:szCs w:val="24"/>
          <w:rtl/>
        </w:rPr>
        <w:t xml:space="preserve">(דף קיג:) </w:t>
      </w:r>
      <w:r>
        <w:rPr>
          <w:rFonts w:ascii="Times New Roman" w:eastAsia="Rockwell" w:hAnsi="Times New Roman" w:cs="Times New Roman" w:hint="cs"/>
          <w:sz w:val="28"/>
          <w:szCs w:val="28"/>
          <w:rtl/>
        </w:rPr>
        <w:t>ד</w:t>
      </w:r>
      <w:r w:rsidRPr="0005355D">
        <w:rPr>
          <w:rFonts w:ascii="Times New Roman" w:eastAsia="Rockwell" w:hAnsi="Times New Roman" w:cs="Times New Roman"/>
          <w:sz w:val="28"/>
          <w:szCs w:val="28"/>
          <w:rtl/>
        </w:rPr>
        <w:t>הרואה דבר ערוה בחבירו</w:t>
      </w:r>
      <w:r>
        <w:rPr>
          <w:rFonts w:ascii="Times New Roman" w:eastAsia="Rockwell" w:hAnsi="Times New Roman" w:cs="Times New Roman" w:hint="cs"/>
          <w:sz w:val="28"/>
          <w:szCs w:val="28"/>
          <w:rtl/>
        </w:rPr>
        <w:t xml:space="preserve"> ואינו יכול להעיד עליו כי הוא יחידי מותר לשנותו או מצוה לשנותו, אך כתוב הפוסקים</w:t>
      </w:r>
      <w:r>
        <w:rPr>
          <w:rStyle w:val="Appelnotedebasdep"/>
          <w:rFonts w:ascii="Times New Roman" w:eastAsia="Rockwell" w:hAnsi="Times New Roman" w:cs="Times New Roman"/>
          <w:sz w:val="28"/>
          <w:szCs w:val="28"/>
          <w:rtl/>
        </w:rPr>
        <w:footnoteReference w:id="1"/>
      </w:r>
      <w:r>
        <w:rPr>
          <w:rFonts w:ascii="Times New Roman" w:eastAsia="Rockwell" w:hAnsi="Times New Roman" w:cs="Times New Roman" w:hint="cs"/>
          <w:sz w:val="28"/>
          <w:szCs w:val="28"/>
          <w:rtl/>
        </w:rPr>
        <w:t xml:space="preserve"> שבזמנינו מצוה לאהוב את הרשעים כי אין מי שיודע להוכיח, ואנו דנים אותם כאנוסים.</w:t>
      </w:r>
    </w:p>
    <w:sectPr w:rsidR="0005355D" w:rsidRPr="0005355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12699" w14:textId="77777777" w:rsidR="00D719AC" w:rsidRDefault="00D719AC" w:rsidP="0005355D">
      <w:pPr>
        <w:spacing w:after="0" w:line="240" w:lineRule="auto"/>
      </w:pPr>
      <w:r>
        <w:separator/>
      </w:r>
    </w:p>
  </w:endnote>
  <w:endnote w:type="continuationSeparator" w:id="0">
    <w:p w14:paraId="481FF531" w14:textId="77777777" w:rsidR="00D719AC" w:rsidRDefault="00D719AC" w:rsidP="00053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A0EF6" w14:textId="77777777" w:rsidR="00D719AC" w:rsidRDefault="00D719AC" w:rsidP="0005355D">
      <w:pPr>
        <w:spacing w:after="0" w:line="240" w:lineRule="auto"/>
      </w:pPr>
      <w:r>
        <w:separator/>
      </w:r>
    </w:p>
  </w:footnote>
  <w:footnote w:type="continuationSeparator" w:id="0">
    <w:p w14:paraId="2A64E2AB" w14:textId="77777777" w:rsidR="00D719AC" w:rsidRDefault="00D719AC" w:rsidP="0005355D">
      <w:pPr>
        <w:spacing w:after="0" w:line="240" w:lineRule="auto"/>
      </w:pPr>
      <w:r>
        <w:continuationSeparator/>
      </w:r>
    </w:p>
  </w:footnote>
  <w:footnote w:id="1">
    <w:p w14:paraId="397E6D56" w14:textId="0745C4AC" w:rsidR="0005355D" w:rsidRPr="0005355D" w:rsidRDefault="0005355D" w:rsidP="0005355D">
      <w:pPr>
        <w:pStyle w:val="Notedebasdepage"/>
        <w:bidi/>
        <w:jc w:val="both"/>
        <w:rPr>
          <w:rFonts w:ascii="Times New Roman" w:hAnsi="Times New Roman" w:cs="Times New Roman"/>
          <w:rtl/>
        </w:rPr>
      </w:pPr>
      <w:r w:rsidRPr="0005355D">
        <w:rPr>
          <w:rStyle w:val="Appelnotedebasdep"/>
          <w:rFonts w:ascii="Times New Roman" w:hAnsi="Times New Roman" w:cs="Times New Roman"/>
        </w:rPr>
        <w:footnoteRef/>
      </w:r>
      <w:r w:rsidRPr="0005355D">
        <w:rPr>
          <w:rFonts w:ascii="Times New Roman" w:hAnsi="Times New Roman" w:cs="Times New Roman"/>
        </w:rPr>
        <w:t xml:space="preserve"> </w:t>
      </w:r>
      <w:r w:rsidRPr="0005355D">
        <w:rPr>
          <w:rFonts w:ascii="Times New Roman" w:hAnsi="Times New Roman" w:cs="Times New Roman"/>
          <w:rtl/>
        </w:rPr>
        <w:t xml:space="preserve"> </w:t>
      </w:r>
      <w:r w:rsidRPr="0005355D">
        <w:rPr>
          <w:rFonts w:ascii="Times New Roman" w:hAnsi="Times New Roman" w:cs="Times New Roman"/>
          <w:b/>
          <w:bCs/>
          <w:rtl/>
        </w:rPr>
        <w:t>אהבת חסד</w:t>
      </w:r>
      <w:r w:rsidRPr="0005355D">
        <w:rPr>
          <w:rFonts w:ascii="Times New Roman" w:hAnsi="Times New Roman" w:cs="Times New Roman"/>
          <w:rtl/>
        </w:rPr>
        <w:t xml:space="preserve">, </w:t>
      </w:r>
      <w:r w:rsidRPr="0005355D">
        <w:rPr>
          <w:rFonts w:ascii="Times New Roman" w:hAnsi="Times New Roman" w:cs="Times New Roman"/>
          <w:b/>
          <w:bCs/>
          <w:rtl/>
        </w:rPr>
        <w:t>מרגניתא טבא</w:t>
      </w:r>
      <w:r w:rsidRPr="0005355D">
        <w:rPr>
          <w:rFonts w:ascii="Times New Roman" w:hAnsi="Times New Roman" w:cs="Times New Roman"/>
          <w:rtl/>
        </w:rPr>
        <w:t xml:space="preserve"> [שבסוף הספר] יז בשם </w:t>
      </w:r>
      <w:r w:rsidRPr="0005355D">
        <w:rPr>
          <w:rFonts w:ascii="Times New Roman" w:hAnsi="Times New Roman" w:cs="Times New Roman"/>
          <w:b/>
          <w:bCs/>
          <w:rtl/>
        </w:rPr>
        <w:t>שו''ת מהר''ם לובלין</w:t>
      </w:r>
      <w:r w:rsidRPr="0005355D">
        <w:rPr>
          <w:rFonts w:ascii="Times New Roman" w:hAnsi="Times New Roman" w:cs="Times New Roman"/>
          <w:rtl/>
        </w:rPr>
        <w:t xml:space="preserve"> יג, </w:t>
      </w:r>
      <w:r w:rsidRPr="0005355D">
        <w:rPr>
          <w:rFonts w:ascii="Times New Roman" w:hAnsi="Times New Roman" w:cs="Times New Roman"/>
          <w:b/>
          <w:bCs/>
          <w:rtl/>
        </w:rPr>
        <w:t>חזו''א</w:t>
      </w:r>
      <w:r w:rsidRPr="0005355D">
        <w:rPr>
          <w:rFonts w:ascii="Times New Roman" w:hAnsi="Times New Roman" w:cs="Times New Roman"/>
          <w:rtl/>
        </w:rPr>
        <w:t xml:space="preserve"> </w:t>
      </w:r>
      <w:r w:rsidRPr="0005355D">
        <w:rPr>
          <w:rFonts w:ascii="Times New Roman" w:hAnsi="Times New Roman" w:cs="Times New Roman"/>
          <w:sz w:val="18"/>
          <w:szCs w:val="18"/>
          <w:rtl/>
        </w:rPr>
        <w:t>(יו''ד ב, כח)</w:t>
      </w:r>
      <w:r w:rsidRPr="0005355D">
        <w:rPr>
          <w:rFonts w:ascii="Times New Roman" w:hAnsi="Times New Roman" w:cs="Times New Roman"/>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7357"/>
    <w:multiLevelType w:val="hybridMultilevel"/>
    <w:tmpl w:val="213A1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802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6F3"/>
    <w:rsid w:val="0005355D"/>
    <w:rsid w:val="001B26F3"/>
    <w:rsid w:val="005D4876"/>
    <w:rsid w:val="0072122C"/>
    <w:rsid w:val="00D03B0A"/>
    <w:rsid w:val="00D719A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841D"/>
  <w15:chartTrackingRefBased/>
  <w15:docId w15:val="{64F2C49F-259E-4DA0-8D1C-EA3E76DE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2122C"/>
    <w:pPr>
      <w:ind w:left="720"/>
      <w:contextualSpacing/>
    </w:pPr>
  </w:style>
  <w:style w:type="paragraph" w:styleId="Notedebasdepage">
    <w:name w:val="footnote text"/>
    <w:basedOn w:val="Normal"/>
    <w:link w:val="NotedebasdepageCar"/>
    <w:uiPriority w:val="99"/>
    <w:semiHidden/>
    <w:unhideWhenUsed/>
    <w:rsid w:val="0005355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5355D"/>
    <w:rPr>
      <w:noProof/>
      <w:sz w:val="20"/>
      <w:szCs w:val="20"/>
    </w:rPr>
  </w:style>
  <w:style w:type="character" w:styleId="Appelnotedebasdep">
    <w:name w:val="footnote reference"/>
    <w:basedOn w:val="Policepardfaut"/>
    <w:uiPriority w:val="99"/>
    <w:semiHidden/>
    <w:unhideWhenUsed/>
    <w:rsid w:val="0005355D"/>
    <w:rPr>
      <w:vertAlign w:val="superscript"/>
    </w:rPr>
  </w:style>
  <w:style w:type="paragraph" w:styleId="En-tte">
    <w:name w:val="header"/>
    <w:basedOn w:val="Normal"/>
    <w:link w:val="En-tteCar"/>
    <w:uiPriority w:val="99"/>
    <w:unhideWhenUsed/>
    <w:rsid w:val="0005355D"/>
    <w:pPr>
      <w:tabs>
        <w:tab w:val="center" w:pos="4153"/>
        <w:tab w:val="right" w:pos="8306"/>
      </w:tabs>
      <w:spacing w:after="0" w:line="240" w:lineRule="auto"/>
    </w:pPr>
  </w:style>
  <w:style w:type="character" w:customStyle="1" w:styleId="En-tteCar">
    <w:name w:val="En-tête Car"/>
    <w:basedOn w:val="Policepardfaut"/>
    <w:link w:val="En-tte"/>
    <w:uiPriority w:val="99"/>
    <w:rsid w:val="0005355D"/>
    <w:rPr>
      <w:noProof/>
    </w:rPr>
  </w:style>
  <w:style w:type="paragraph" w:styleId="Pieddepage">
    <w:name w:val="footer"/>
    <w:basedOn w:val="Normal"/>
    <w:link w:val="PieddepageCar"/>
    <w:uiPriority w:val="99"/>
    <w:unhideWhenUsed/>
    <w:rsid w:val="0005355D"/>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05355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BE55A-5351-4EA3-AF08-40D30992A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422</Words>
  <Characters>2325</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2022-03-29T05:58:00Z</dcterms:created>
  <dcterms:modified xsi:type="dcterms:W3CDTF">2026-03-02T04:59:00Z</dcterms:modified>
</cp:coreProperties>
</file>