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B59F5" w14:textId="6D6C8F68" w:rsidR="001D2779" w:rsidRPr="00BA05FE" w:rsidRDefault="00922AF3" w:rsidP="00922AF3">
      <w:pPr>
        <w:bidi/>
        <w:ind w:left="3540"/>
        <w:jc w:val="both"/>
        <w:rPr>
          <w:rFonts w:ascii="David" w:hAnsi="David" w:cs="David"/>
          <w:sz w:val="56"/>
          <w:szCs w:val="56"/>
          <w:u w:val="single"/>
          <w:rtl/>
        </w:rPr>
      </w:pPr>
      <w:r w:rsidRPr="00BA05FE">
        <w:rPr>
          <w:rFonts w:ascii="David" w:hAnsi="David" w:cs="David"/>
          <w:sz w:val="56"/>
          <w:szCs w:val="56"/>
          <w:u w:val="single"/>
          <w:rtl/>
        </w:rPr>
        <w:t>שנוי מקום</w:t>
      </w:r>
    </w:p>
    <w:p w14:paraId="78C66BE9" w14:textId="6F26AF78" w:rsidR="00922AF3" w:rsidRPr="00BA05FE" w:rsidRDefault="00922AF3" w:rsidP="00922AF3">
      <w:pPr>
        <w:bidi/>
        <w:jc w:val="both"/>
        <w:rPr>
          <w:rFonts w:ascii="David" w:hAnsi="David" w:cs="David"/>
          <w:sz w:val="28"/>
          <w:szCs w:val="28"/>
          <w:rtl/>
        </w:rPr>
      </w:pPr>
    </w:p>
    <w:p w14:paraId="3A26891A" w14:textId="736683AF" w:rsidR="00922AF3" w:rsidRPr="00BA05FE" w:rsidRDefault="00922AF3" w:rsidP="00922AF3">
      <w:pPr>
        <w:bidi/>
        <w:jc w:val="both"/>
        <w:rPr>
          <w:rFonts w:ascii="David" w:hAnsi="David" w:cs="David"/>
          <w:sz w:val="28"/>
          <w:szCs w:val="28"/>
          <w:rtl/>
        </w:rPr>
      </w:pPr>
    </w:p>
    <w:p w14:paraId="1861564C" w14:textId="597CD384" w:rsidR="00922AF3" w:rsidRPr="00BA05FE" w:rsidRDefault="00922AF3" w:rsidP="00922AF3">
      <w:pPr>
        <w:bidi/>
        <w:jc w:val="both"/>
        <w:rPr>
          <w:rFonts w:ascii="David" w:hAnsi="David" w:cs="David"/>
          <w:sz w:val="28"/>
          <w:szCs w:val="28"/>
          <w:rtl/>
        </w:rPr>
      </w:pPr>
      <w:r w:rsidRPr="00BA05FE">
        <w:rPr>
          <w:rFonts w:ascii="David" w:hAnsi="David" w:cs="David"/>
          <w:sz w:val="28"/>
          <w:szCs w:val="28"/>
          <w:rtl/>
        </w:rPr>
        <w:t xml:space="preserve">עי' </w:t>
      </w:r>
      <w:r w:rsidRPr="00BA05FE">
        <w:rPr>
          <w:rFonts w:ascii="David" w:hAnsi="David" w:cs="David"/>
          <w:b/>
          <w:bCs/>
          <w:sz w:val="28"/>
          <w:szCs w:val="28"/>
          <w:rtl/>
        </w:rPr>
        <w:t>שו"ת הרשב"א</w:t>
      </w:r>
      <w:r w:rsidRPr="00BA05FE">
        <w:rPr>
          <w:rFonts w:ascii="David" w:hAnsi="David" w:cs="David"/>
          <w:sz w:val="28"/>
          <w:szCs w:val="28"/>
          <w:rtl/>
        </w:rPr>
        <w:t xml:space="preserve"> </w:t>
      </w:r>
      <w:r w:rsidRPr="00BA05FE">
        <w:rPr>
          <w:rFonts w:ascii="David" w:hAnsi="David" w:cs="David"/>
          <w:sz w:val="24"/>
          <w:szCs w:val="24"/>
          <w:rtl/>
        </w:rPr>
        <w:t xml:space="preserve">(חלק א סימן תרנב) </w:t>
      </w:r>
      <w:r w:rsidRPr="00BA05FE">
        <w:rPr>
          <w:rFonts w:ascii="David" w:hAnsi="David" w:cs="David"/>
          <w:sz w:val="28"/>
          <w:szCs w:val="28"/>
          <w:rtl/>
        </w:rPr>
        <w:t>שכותב ''שאלת עוד מה שאמרו (ב"מ פ"ה דף ע"ה) האי מאן דביש ליה בהאי מתא ליזל למתא אחריתי. והלא כתב (ירמיה י') לא לאדם דרכו לא לאיש הולך והכין את צעדו</w:t>
      </w:r>
      <w:r w:rsidRPr="00BA05FE">
        <w:rPr>
          <w:rFonts w:ascii="David" w:hAnsi="David" w:cs="David"/>
          <w:sz w:val="28"/>
          <w:szCs w:val="28"/>
        </w:rPr>
        <w:t xml:space="preserve">? </w:t>
      </w:r>
    </w:p>
    <w:p w14:paraId="3ED6B73A" w14:textId="2663BD88" w:rsidR="00922AF3" w:rsidRPr="00BA05FE" w:rsidRDefault="00922AF3" w:rsidP="00922AF3">
      <w:pPr>
        <w:bidi/>
        <w:jc w:val="both"/>
        <w:rPr>
          <w:rFonts w:ascii="David" w:hAnsi="David" w:cs="David"/>
          <w:sz w:val="28"/>
          <w:szCs w:val="28"/>
        </w:rPr>
      </w:pPr>
      <w:r w:rsidRPr="00BA05FE">
        <w:rPr>
          <w:rFonts w:ascii="David" w:hAnsi="David" w:cs="David"/>
          <w:sz w:val="28"/>
          <w:szCs w:val="28"/>
          <w:rtl/>
        </w:rPr>
        <w:t>תשובה פעמים שהחטא גורם למנוע ממנו הטוב וצריך הוא כפרה. וא' מדרכי הכפרה הוא שנוי מקום. לפיכך אמר שצריך לגלות ממקומו וללכת למקום אחר אולי החטא הוא שגרם וגלותו תכפר עליו. אי נמי פעמים שמזל המקום הוא גורם וכשנסתלק למקום אחר יצא מתוך ההפכה. אבל מי שנגזר עליו אי איפשר לו וזהו שכתב לא לאדם דרכו. ומכל מקום בידן של ישראל הוא וכמו שאמרו ז"ל אין מזל לישראל. שישראל חלק ה' וחבל נחלתו ואינן מסורין למזלות השמים כי הם למעלה מן המזלות. וזהו שכתב (שם /ירמי' י'/) מאותו /מאותות/ השמים אל תחתו כי יחתו הגוים מהמה. ומה שכתב לא לאדם דרכו בשאינו עושה רצון השם. שאז הוא מסור למזל לפי שעונותיו הבדילו בינו ובין השם יתברך. והשפיל עצמו ממעלות עליונות ובא וישב לו במדרגות תחתונות תחת המזלות. וזהו שכתב (דברים ל"ב) אסתירה פני מהם אראה מה אחריתם. רוצה לומר אסלק השגחתי ואניחם ביד המזלות ושאר משרתי השמים אשר בחרו בם כשאר האומות. ואז אראה באחריתם מי יצילם מיד המקרים מתנועות הגלגלים והמזלות. אבל בצדיקים כתיב גם כי אלך בגיא צלמות לא אירע רע כי אתה עמדי''.</w:t>
      </w:r>
    </w:p>
    <w:sectPr w:rsidR="00922AF3" w:rsidRPr="00BA05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F3"/>
    <w:rsid w:val="001D2779"/>
    <w:rsid w:val="00922AF3"/>
    <w:rsid w:val="00BA05F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1A8D4"/>
  <w15:chartTrackingRefBased/>
  <w15:docId w15:val="{DD1084F0-9F33-47C2-973B-98B2A94A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172</Words>
  <Characters>952</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2022-11-04T08:41:00Z</dcterms:created>
  <dcterms:modified xsi:type="dcterms:W3CDTF">2023-10-15T19:59:00Z</dcterms:modified>
</cp:coreProperties>
</file>