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4F968" w14:textId="71CAC680" w:rsidR="00133F88" w:rsidRPr="008360C2" w:rsidRDefault="00133F88" w:rsidP="00D348E3">
      <w:pPr>
        <w:bidi/>
        <w:ind w:left="3540"/>
        <w:jc w:val="both"/>
        <w:rPr>
          <w:rFonts w:ascii="Times New Roman" w:hAnsi="Times New Roman" w:cs="Times New Roman"/>
          <w:sz w:val="56"/>
          <w:szCs w:val="56"/>
          <w:u w:val="single"/>
          <w:rtl/>
        </w:rPr>
      </w:pPr>
      <w:r w:rsidRPr="008360C2">
        <w:rPr>
          <w:rFonts w:ascii="Times New Roman" w:hAnsi="Times New Roman" w:cs="Times New Roman"/>
          <w:sz w:val="56"/>
          <w:szCs w:val="56"/>
          <w:u w:val="single"/>
          <w:rtl/>
        </w:rPr>
        <w:t>שכר מצוה</w:t>
      </w:r>
    </w:p>
    <w:p w14:paraId="0B2E0DDF" w14:textId="00D6D0C0" w:rsidR="00133F88" w:rsidRPr="008360C2" w:rsidRDefault="00133F88" w:rsidP="00133F88">
      <w:pPr>
        <w:bidi/>
        <w:jc w:val="both"/>
        <w:rPr>
          <w:rFonts w:ascii="Times New Roman" w:hAnsi="Times New Roman" w:cs="Times New Roman"/>
          <w:sz w:val="28"/>
          <w:szCs w:val="28"/>
          <w:rtl/>
        </w:rPr>
      </w:pPr>
    </w:p>
    <w:p w14:paraId="4C12F3B9" w14:textId="0E1CCCDD" w:rsidR="00133F88" w:rsidRPr="008360C2" w:rsidRDefault="00133F88" w:rsidP="00133F88">
      <w:pPr>
        <w:bidi/>
        <w:jc w:val="both"/>
        <w:rPr>
          <w:rFonts w:ascii="Times New Roman" w:hAnsi="Times New Roman" w:cs="Times New Roman"/>
          <w:sz w:val="28"/>
          <w:szCs w:val="28"/>
          <w:rtl/>
        </w:rPr>
      </w:pPr>
    </w:p>
    <w:p w14:paraId="01EBF243" w14:textId="53B99BC0" w:rsidR="00133F88" w:rsidRPr="008360C2" w:rsidRDefault="00133F88" w:rsidP="00133F88">
      <w:pPr>
        <w:bidi/>
        <w:jc w:val="both"/>
        <w:rPr>
          <w:rFonts w:ascii="Times New Roman" w:hAnsi="Times New Roman" w:cs="Times New Roman"/>
          <w:sz w:val="28"/>
          <w:szCs w:val="28"/>
          <w:rtl/>
        </w:rPr>
      </w:pPr>
    </w:p>
    <w:p w14:paraId="15E75D52" w14:textId="08E1A42F" w:rsidR="00AC4F55" w:rsidRPr="008360C2" w:rsidRDefault="00D348E3" w:rsidP="00133F88">
      <w:pPr>
        <w:bidi/>
        <w:jc w:val="both"/>
        <w:rPr>
          <w:rFonts w:ascii="Times New Roman" w:hAnsi="Times New Roman" w:cs="Times New Roman"/>
          <w:sz w:val="36"/>
          <w:szCs w:val="36"/>
          <w:u w:val="single"/>
          <w:rtl/>
        </w:rPr>
      </w:pPr>
      <w:r w:rsidRPr="008360C2">
        <w:rPr>
          <w:rFonts w:ascii="Times New Roman" w:hAnsi="Times New Roman" w:cs="Times New Roman"/>
          <w:sz w:val="36"/>
          <w:szCs w:val="36"/>
          <w:u w:val="single"/>
          <w:rtl/>
        </w:rPr>
        <w:t>יש סוג מצוה שה' משלם השכר בעולם הזה</w:t>
      </w:r>
    </w:p>
    <w:p w14:paraId="1299036D" w14:textId="53645EB0" w:rsidR="00133F88" w:rsidRPr="008360C2" w:rsidRDefault="00133F88" w:rsidP="00AC4F55">
      <w:pPr>
        <w:bidi/>
        <w:jc w:val="both"/>
        <w:rPr>
          <w:rFonts w:ascii="Times New Roman" w:hAnsi="Times New Roman" w:cs="Times New Roman"/>
          <w:sz w:val="28"/>
          <w:szCs w:val="28"/>
          <w:rtl/>
        </w:rPr>
      </w:pPr>
      <w:r w:rsidRPr="008360C2">
        <w:rPr>
          <w:rFonts w:ascii="Times New Roman" w:hAnsi="Times New Roman" w:cs="Times New Roman"/>
          <w:sz w:val="28"/>
          <w:szCs w:val="28"/>
          <w:rtl/>
        </w:rPr>
        <w:t xml:space="preserve">והנה ידוע מה שהגמ' אומרת </w:t>
      </w:r>
      <w:r w:rsidRPr="008360C2">
        <w:rPr>
          <w:rFonts w:ascii="Times New Roman" w:hAnsi="Times New Roman" w:cs="Times New Roman"/>
          <w:b/>
          <w:bCs/>
          <w:sz w:val="28"/>
          <w:szCs w:val="28"/>
          <w:rtl/>
        </w:rPr>
        <w:t>בקידושין</w:t>
      </w:r>
      <w:r w:rsidR="00D348E3" w:rsidRPr="008360C2">
        <w:rPr>
          <w:rFonts w:ascii="Times New Roman" w:hAnsi="Times New Roman" w:cs="Times New Roman"/>
          <w:b/>
          <w:bCs/>
          <w:sz w:val="28"/>
          <w:szCs w:val="28"/>
          <w:rtl/>
        </w:rPr>
        <w:t xml:space="preserve"> </w:t>
      </w:r>
      <w:r w:rsidRPr="008360C2">
        <w:rPr>
          <w:rFonts w:ascii="Times New Roman" w:hAnsi="Times New Roman" w:cs="Times New Roman"/>
          <w:sz w:val="24"/>
          <w:szCs w:val="24"/>
          <w:rtl/>
        </w:rPr>
        <w:t xml:space="preserve">(דף לט:) </w:t>
      </w:r>
      <w:r w:rsidRPr="008360C2">
        <w:rPr>
          <w:rFonts w:ascii="Times New Roman" w:hAnsi="Times New Roman" w:cs="Times New Roman"/>
          <w:sz w:val="28"/>
          <w:szCs w:val="28"/>
          <w:rtl/>
        </w:rPr>
        <w:t xml:space="preserve">''שכר מצוה בהאי עלמא ליכא'', ועי' בספר </w:t>
      </w:r>
      <w:r w:rsidRPr="008360C2">
        <w:rPr>
          <w:rFonts w:ascii="Times New Roman" w:hAnsi="Times New Roman" w:cs="Times New Roman"/>
          <w:b/>
          <w:bCs/>
          <w:sz w:val="28"/>
          <w:szCs w:val="28"/>
          <w:rtl/>
        </w:rPr>
        <w:t>פרי לצדיק</w:t>
      </w:r>
      <w:r w:rsidR="00D348E3" w:rsidRPr="008360C2">
        <w:rPr>
          <w:rFonts w:ascii="Times New Roman" w:hAnsi="Times New Roman" w:cs="Times New Roman"/>
          <w:b/>
          <w:bCs/>
          <w:sz w:val="28"/>
          <w:szCs w:val="28"/>
          <w:rtl/>
        </w:rPr>
        <w:t xml:space="preserve"> </w:t>
      </w:r>
      <w:r w:rsidRPr="008360C2">
        <w:rPr>
          <w:rFonts w:ascii="Times New Roman" w:hAnsi="Times New Roman" w:cs="Times New Roman"/>
          <w:sz w:val="24"/>
          <w:szCs w:val="24"/>
          <w:rtl/>
        </w:rPr>
        <w:t xml:space="preserve">(חנוכה אות יג) </w:t>
      </w:r>
      <w:r w:rsidRPr="008360C2">
        <w:rPr>
          <w:rFonts w:ascii="Times New Roman" w:hAnsi="Times New Roman" w:cs="Times New Roman"/>
          <w:b/>
          <w:bCs/>
          <w:sz w:val="28"/>
          <w:szCs w:val="28"/>
          <w:rtl/>
        </w:rPr>
        <w:t>לר' צדוק הכהן</w:t>
      </w:r>
      <w:r w:rsidRPr="008360C2">
        <w:rPr>
          <w:rFonts w:ascii="Times New Roman" w:hAnsi="Times New Roman" w:cs="Times New Roman"/>
          <w:sz w:val="28"/>
          <w:szCs w:val="28"/>
          <w:rtl/>
        </w:rPr>
        <w:t xml:space="preserve"> </w:t>
      </w:r>
      <w:r w:rsidRPr="008360C2">
        <w:rPr>
          <w:rFonts w:ascii="Times New Roman" w:hAnsi="Times New Roman" w:cs="Times New Roman"/>
          <w:b/>
          <w:bCs/>
          <w:sz w:val="28"/>
          <w:szCs w:val="28"/>
          <w:rtl/>
        </w:rPr>
        <w:t>מלובלין</w:t>
      </w:r>
      <w:r w:rsidRPr="008360C2">
        <w:rPr>
          <w:rFonts w:ascii="Times New Roman" w:hAnsi="Times New Roman" w:cs="Times New Roman"/>
          <w:sz w:val="28"/>
          <w:szCs w:val="28"/>
          <w:rtl/>
        </w:rPr>
        <w:t xml:space="preserve"> שהביא דמהגמ' </w:t>
      </w:r>
      <w:r w:rsidRPr="008360C2">
        <w:rPr>
          <w:rFonts w:ascii="Times New Roman" w:hAnsi="Times New Roman" w:cs="Times New Roman"/>
          <w:b/>
          <w:bCs/>
          <w:sz w:val="28"/>
          <w:szCs w:val="28"/>
          <w:rtl/>
        </w:rPr>
        <w:t>במגילה</w:t>
      </w:r>
      <w:r w:rsidR="00D348E3" w:rsidRPr="008360C2">
        <w:rPr>
          <w:rFonts w:ascii="Times New Roman" w:hAnsi="Times New Roman" w:cs="Times New Roman"/>
          <w:b/>
          <w:bCs/>
          <w:sz w:val="28"/>
          <w:szCs w:val="28"/>
          <w:rtl/>
        </w:rPr>
        <w:t xml:space="preserve"> </w:t>
      </w:r>
      <w:r w:rsidRPr="008360C2">
        <w:rPr>
          <w:rFonts w:ascii="Times New Roman" w:hAnsi="Times New Roman" w:cs="Times New Roman"/>
          <w:sz w:val="24"/>
          <w:szCs w:val="24"/>
          <w:rtl/>
        </w:rPr>
        <w:t xml:space="preserve">(דף כז:) </w:t>
      </w:r>
      <w:r w:rsidRPr="008360C2">
        <w:rPr>
          <w:rFonts w:ascii="Times New Roman" w:hAnsi="Times New Roman" w:cs="Times New Roman"/>
          <w:sz w:val="28"/>
          <w:szCs w:val="28"/>
          <w:rtl/>
        </w:rPr>
        <w:t>משמע שכן יש שכר מצוה בעולם הזה, כי שם כמה אמוראים אומרים באיזה זכות האריכו ימים, והסביר הרב שאע''פ</w:t>
      </w:r>
      <w:r w:rsidR="00AC4F55" w:rsidRPr="008360C2">
        <w:rPr>
          <w:rFonts w:ascii="Times New Roman" w:hAnsi="Times New Roman" w:cs="Times New Roman"/>
          <w:sz w:val="28"/>
          <w:szCs w:val="28"/>
          <w:rtl/>
        </w:rPr>
        <w:t xml:space="preserve"> ששכר בהאי עלמא ליכא</w:t>
      </w:r>
      <w:r w:rsidRPr="008360C2">
        <w:rPr>
          <w:rFonts w:ascii="Times New Roman" w:hAnsi="Times New Roman" w:cs="Times New Roman"/>
          <w:sz w:val="28"/>
          <w:szCs w:val="28"/>
          <w:rtl/>
        </w:rPr>
        <w:t xml:space="preserve"> </w:t>
      </w:r>
      <w:r w:rsidR="00AC4F55" w:rsidRPr="008360C2">
        <w:rPr>
          <w:rFonts w:ascii="Times New Roman" w:hAnsi="Times New Roman" w:cs="Times New Roman"/>
          <w:sz w:val="28"/>
          <w:szCs w:val="28"/>
          <w:rtl/>
        </w:rPr>
        <w:t>ו</w:t>
      </w:r>
      <w:r w:rsidRPr="008360C2">
        <w:rPr>
          <w:rFonts w:ascii="Times New Roman" w:hAnsi="Times New Roman" w:cs="Times New Roman"/>
          <w:sz w:val="28"/>
          <w:szCs w:val="28"/>
          <w:rtl/>
        </w:rPr>
        <w:t xml:space="preserve">שהגמ' </w:t>
      </w:r>
      <w:r w:rsidRPr="008360C2">
        <w:rPr>
          <w:rFonts w:ascii="Times New Roman" w:hAnsi="Times New Roman" w:cs="Times New Roman"/>
          <w:b/>
          <w:bCs/>
          <w:sz w:val="28"/>
          <w:szCs w:val="28"/>
          <w:rtl/>
        </w:rPr>
        <w:t>במו''ק</w:t>
      </w:r>
      <w:r w:rsidR="00D348E3" w:rsidRPr="008360C2">
        <w:rPr>
          <w:rFonts w:ascii="Times New Roman" w:hAnsi="Times New Roman" w:cs="Times New Roman"/>
          <w:b/>
          <w:bCs/>
          <w:sz w:val="28"/>
          <w:szCs w:val="28"/>
          <w:rtl/>
        </w:rPr>
        <w:t xml:space="preserve"> </w:t>
      </w:r>
      <w:r w:rsidRPr="008360C2">
        <w:rPr>
          <w:rFonts w:ascii="Times New Roman" w:hAnsi="Times New Roman" w:cs="Times New Roman"/>
          <w:sz w:val="24"/>
          <w:szCs w:val="24"/>
          <w:rtl/>
        </w:rPr>
        <w:t>(</w:t>
      </w:r>
      <w:r w:rsidR="00AC4F55" w:rsidRPr="008360C2">
        <w:rPr>
          <w:rFonts w:ascii="Times New Roman" w:hAnsi="Times New Roman" w:cs="Times New Roman"/>
          <w:sz w:val="24"/>
          <w:szCs w:val="24"/>
          <w:rtl/>
        </w:rPr>
        <w:t xml:space="preserve">דף </w:t>
      </w:r>
      <w:r w:rsidRPr="008360C2">
        <w:rPr>
          <w:rFonts w:ascii="Times New Roman" w:hAnsi="Times New Roman" w:cs="Times New Roman"/>
          <w:sz w:val="24"/>
          <w:szCs w:val="24"/>
          <w:rtl/>
        </w:rPr>
        <w:t xml:space="preserve">כח.) </w:t>
      </w:r>
      <w:r w:rsidRPr="008360C2">
        <w:rPr>
          <w:rFonts w:ascii="Times New Roman" w:hAnsi="Times New Roman" w:cs="Times New Roman"/>
          <w:sz w:val="28"/>
          <w:szCs w:val="28"/>
          <w:rtl/>
        </w:rPr>
        <w:t xml:space="preserve">אומרת ''חיי..לא בזכותא תליא מילתא אלא במזלא..'' זהו רק שכר המצוה שעושה מצד החיוב אבל מה שעושה לפנים משורת הדין יפרע לו הקב''ה בחייו וכמו שפרש''י </w:t>
      </w:r>
      <w:r w:rsidRPr="008360C2">
        <w:rPr>
          <w:rFonts w:ascii="Times New Roman" w:hAnsi="Times New Roman" w:cs="Times New Roman"/>
          <w:b/>
          <w:bCs/>
          <w:sz w:val="28"/>
          <w:szCs w:val="28"/>
          <w:rtl/>
        </w:rPr>
        <w:t>בב''ק</w:t>
      </w:r>
      <w:r w:rsidR="00D348E3" w:rsidRPr="008360C2">
        <w:rPr>
          <w:rFonts w:ascii="Times New Roman" w:hAnsi="Times New Roman" w:cs="Times New Roman"/>
          <w:b/>
          <w:bCs/>
          <w:sz w:val="28"/>
          <w:szCs w:val="28"/>
          <w:rtl/>
        </w:rPr>
        <w:t xml:space="preserve"> </w:t>
      </w:r>
      <w:r w:rsidRPr="008360C2">
        <w:rPr>
          <w:rFonts w:ascii="Times New Roman" w:hAnsi="Times New Roman" w:cs="Times New Roman"/>
          <w:sz w:val="24"/>
          <w:szCs w:val="24"/>
          <w:rtl/>
        </w:rPr>
        <w:t>(</w:t>
      </w:r>
      <w:r w:rsidR="00AC4F55" w:rsidRPr="008360C2">
        <w:rPr>
          <w:rFonts w:ascii="Times New Roman" w:hAnsi="Times New Roman" w:cs="Times New Roman"/>
          <w:sz w:val="24"/>
          <w:szCs w:val="24"/>
          <w:rtl/>
        </w:rPr>
        <w:t xml:space="preserve">דף </w:t>
      </w:r>
      <w:r w:rsidRPr="008360C2">
        <w:rPr>
          <w:rFonts w:ascii="Times New Roman" w:hAnsi="Times New Roman" w:cs="Times New Roman"/>
          <w:sz w:val="24"/>
          <w:szCs w:val="24"/>
          <w:rtl/>
        </w:rPr>
        <w:t xml:space="preserve">ט:) </w:t>
      </w:r>
      <w:r w:rsidRPr="008360C2">
        <w:rPr>
          <w:rFonts w:ascii="Times New Roman" w:hAnsi="Times New Roman" w:cs="Times New Roman"/>
          <w:sz w:val="28"/>
          <w:szCs w:val="28"/>
          <w:rtl/>
        </w:rPr>
        <w:t>על מה שאמרו עד שליש משלו מכאן והילך של הקב''ה</w:t>
      </w:r>
      <w:r w:rsidR="00AC4F55" w:rsidRPr="008360C2">
        <w:rPr>
          <w:rStyle w:val="Appelnotedebasdep"/>
          <w:rFonts w:ascii="Times New Roman" w:hAnsi="Times New Roman" w:cs="Times New Roman"/>
          <w:sz w:val="28"/>
          <w:szCs w:val="28"/>
          <w:rtl/>
        </w:rPr>
        <w:footnoteReference w:id="1"/>
      </w:r>
      <w:r w:rsidR="00AC4F55" w:rsidRPr="008360C2">
        <w:rPr>
          <w:rFonts w:ascii="Times New Roman" w:hAnsi="Times New Roman" w:cs="Times New Roman"/>
          <w:sz w:val="28"/>
          <w:szCs w:val="28"/>
          <w:rtl/>
        </w:rPr>
        <w:t>.</w:t>
      </w:r>
    </w:p>
    <w:p w14:paraId="4C9167F1" w14:textId="014D78DF" w:rsidR="00D348E3" w:rsidRPr="008360C2" w:rsidRDefault="00D348E3" w:rsidP="00D348E3">
      <w:pPr>
        <w:bidi/>
        <w:jc w:val="both"/>
        <w:rPr>
          <w:rFonts w:ascii="Times New Roman" w:hAnsi="Times New Roman" w:cs="Times New Roman"/>
          <w:sz w:val="28"/>
          <w:szCs w:val="28"/>
          <w:rtl/>
        </w:rPr>
      </w:pPr>
    </w:p>
    <w:p w14:paraId="1422C135" w14:textId="79410EF6" w:rsidR="00D348E3" w:rsidRPr="008360C2" w:rsidRDefault="00D348E3" w:rsidP="00D348E3">
      <w:pPr>
        <w:bidi/>
        <w:jc w:val="both"/>
        <w:rPr>
          <w:rFonts w:ascii="Times New Roman" w:hAnsi="Times New Roman" w:cs="Times New Roman"/>
          <w:sz w:val="36"/>
          <w:szCs w:val="36"/>
          <w:u w:val="single"/>
          <w:rtl/>
        </w:rPr>
      </w:pPr>
      <w:r w:rsidRPr="008360C2">
        <w:rPr>
          <w:rFonts w:ascii="Times New Roman" w:hAnsi="Times New Roman" w:cs="Times New Roman"/>
          <w:sz w:val="36"/>
          <w:szCs w:val="36"/>
          <w:u w:val="single"/>
          <w:rtl/>
        </w:rPr>
        <w:t>ישנם שני שכר במצוה: שכר מצוה עצמה ושכר הטרחה</w:t>
      </w:r>
    </w:p>
    <w:p w14:paraId="3648B40F" w14:textId="074E5B21" w:rsidR="00D348E3" w:rsidRPr="008360C2" w:rsidRDefault="00D348E3" w:rsidP="00D348E3">
      <w:pPr>
        <w:bidi/>
        <w:jc w:val="both"/>
        <w:rPr>
          <w:rFonts w:ascii="Times New Roman" w:hAnsi="Times New Roman" w:cs="Times New Roman"/>
          <w:sz w:val="28"/>
          <w:szCs w:val="28"/>
          <w:rtl/>
        </w:rPr>
      </w:pPr>
      <w:bookmarkStart w:id="0" w:name="_Hlk115296485"/>
      <w:r w:rsidRPr="008360C2">
        <w:rPr>
          <w:rFonts w:ascii="Times New Roman" w:hAnsi="Times New Roman" w:cs="Times New Roman"/>
          <w:sz w:val="28"/>
          <w:szCs w:val="28"/>
          <w:rtl/>
        </w:rPr>
        <w:t xml:space="preserve">עי' </w:t>
      </w:r>
      <w:r w:rsidRPr="008360C2">
        <w:rPr>
          <w:rFonts w:ascii="Times New Roman" w:hAnsi="Times New Roman" w:cs="Times New Roman"/>
          <w:b/>
          <w:bCs/>
          <w:sz w:val="28"/>
          <w:szCs w:val="28"/>
          <w:rtl/>
        </w:rPr>
        <w:t>המהר''ל</w:t>
      </w:r>
      <w:r w:rsidRPr="008360C2">
        <w:rPr>
          <w:rFonts w:ascii="Times New Roman" w:hAnsi="Times New Roman" w:cs="Times New Roman"/>
          <w:sz w:val="28"/>
          <w:szCs w:val="28"/>
          <w:rtl/>
        </w:rPr>
        <w:t xml:space="preserve"> </w:t>
      </w:r>
      <w:r w:rsidRPr="008360C2">
        <w:rPr>
          <w:rFonts w:ascii="Times New Roman" w:hAnsi="Times New Roman" w:cs="Times New Roman"/>
          <w:sz w:val="24"/>
          <w:szCs w:val="24"/>
          <w:rtl/>
        </w:rPr>
        <w:t xml:space="preserve">(בחידושי אגדות מכות דף כג:) </w:t>
      </w:r>
      <w:r w:rsidRPr="008360C2">
        <w:rPr>
          <w:rFonts w:ascii="Times New Roman" w:hAnsi="Times New Roman" w:cs="Times New Roman"/>
          <w:sz w:val="28"/>
          <w:szCs w:val="28"/>
          <w:rtl/>
        </w:rPr>
        <w:t>שכותב ''ומה אם הדם וכו'. מכאן משמע שידוע מתן שכרן של מצוה, שהרי יליף ק"ו שיש על מצוה שיש עליה צער יותר שכר, וכן משמע בפרק שלוח הקן (</w:t>
      </w:r>
      <w:r w:rsidRPr="008360C2">
        <w:rPr>
          <w:rFonts w:ascii="Times New Roman" w:hAnsi="Times New Roman" w:cs="Times New Roman"/>
          <w:b/>
          <w:bCs/>
          <w:sz w:val="28"/>
          <w:szCs w:val="28"/>
          <w:rtl/>
        </w:rPr>
        <w:t>חולין</w:t>
      </w:r>
      <w:r w:rsidRPr="008360C2">
        <w:rPr>
          <w:rFonts w:ascii="Times New Roman" w:hAnsi="Times New Roman" w:cs="Times New Roman"/>
          <w:sz w:val="28"/>
          <w:szCs w:val="28"/>
          <w:rtl/>
        </w:rPr>
        <w:t xml:space="preserve"> </w:t>
      </w:r>
      <w:r w:rsidRPr="008360C2">
        <w:rPr>
          <w:rFonts w:ascii="Times New Roman" w:hAnsi="Times New Roman" w:cs="Times New Roman"/>
          <w:sz w:val="24"/>
          <w:szCs w:val="24"/>
          <w:rtl/>
        </w:rPr>
        <w:t>קמ"א ב'</w:t>
      </w:r>
      <w:r w:rsidRPr="008360C2">
        <w:rPr>
          <w:rFonts w:ascii="Times New Roman" w:hAnsi="Times New Roman" w:cs="Times New Roman"/>
          <w:sz w:val="28"/>
          <w:szCs w:val="28"/>
          <w:rtl/>
        </w:rPr>
        <w:t>) שאמרו שם ומה אם מצוה שהיא באיסר אמרה תורה למען יטב לך והארכת ימים כ"ש מצו' אחרת. ויש להקשות על זה דהא אמרו (</w:t>
      </w:r>
      <w:r w:rsidRPr="008360C2">
        <w:rPr>
          <w:rFonts w:ascii="Times New Roman" w:hAnsi="Times New Roman" w:cs="Times New Roman"/>
          <w:b/>
          <w:bCs/>
          <w:sz w:val="28"/>
          <w:szCs w:val="28"/>
          <w:rtl/>
        </w:rPr>
        <w:t>אבות</w:t>
      </w:r>
      <w:r w:rsidRPr="008360C2">
        <w:rPr>
          <w:rFonts w:ascii="Times New Roman" w:hAnsi="Times New Roman" w:cs="Times New Roman"/>
          <w:sz w:val="28"/>
          <w:szCs w:val="28"/>
          <w:rtl/>
        </w:rPr>
        <w:t xml:space="preserve"> </w:t>
      </w:r>
      <w:r w:rsidRPr="008360C2">
        <w:rPr>
          <w:rFonts w:ascii="Times New Roman" w:hAnsi="Times New Roman" w:cs="Times New Roman"/>
          <w:sz w:val="24"/>
          <w:szCs w:val="24"/>
          <w:rtl/>
        </w:rPr>
        <w:t>פ"ב</w:t>
      </w:r>
      <w:r w:rsidRPr="008360C2">
        <w:rPr>
          <w:rFonts w:ascii="Times New Roman" w:hAnsi="Times New Roman" w:cs="Times New Roman"/>
          <w:sz w:val="28"/>
          <w:szCs w:val="28"/>
          <w:rtl/>
        </w:rPr>
        <w:t>) שאין אתה יודע מתן שכרן של מצות, ואם כן אפשר שעל מצות שלוח הקן ומצות דם יש יותר שכר מן מצוה אחרת אף שהיא יותר גדולה מהם. ופי' זה דמה שכתב אצל שלוח הקן למען יטב לך והארכת ימים, על כרחך פירושו, כי השכר הזה הוא בשביל הוצאת האיסר ואין הכתוב מדבר משכר המצוה עצמה, דאם כן למה כתב במצוה זאת השכר ולא בשאר מצות. אלא על כרחך הכתוב בא ללמוד ק"ו, ומה אם מצות שאינו רק באיסר וכו' אם כן אין הכתוב מדבר משכר המצוה עצמה רק מן השכר שיש בשביל ההוצאה או הטורח. דודאי יש בזה שני דברים, הבחינה האחת מצד המצוה שהש"י נותן שכר בשביל המצוה אף שאין בה טורח והוצאה כלל שנותן שכר על המצוה עצמה, דמכל מקום יש שכר עליה. ושכר זה אין אתה יודע מתן שכרן של מצות שהוא מצד המצוה עצמה, ויכול להיות שיש שכר יותר על קלה מבחמורה, כי אין השכר תולה כלל בקלות ובחמורות. אבל השכר שיש בשביל הטורח וההוצאה, וכמו שאמרו (</w:t>
      </w:r>
      <w:r w:rsidRPr="008360C2">
        <w:rPr>
          <w:rFonts w:ascii="Times New Roman" w:hAnsi="Times New Roman" w:cs="Times New Roman"/>
          <w:b/>
          <w:bCs/>
          <w:sz w:val="28"/>
          <w:szCs w:val="28"/>
          <w:rtl/>
        </w:rPr>
        <w:t>אבות</w:t>
      </w:r>
      <w:r w:rsidRPr="008360C2">
        <w:rPr>
          <w:rFonts w:ascii="Times New Roman" w:hAnsi="Times New Roman" w:cs="Times New Roman"/>
          <w:sz w:val="28"/>
          <w:szCs w:val="28"/>
          <w:rtl/>
        </w:rPr>
        <w:t xml:space="preserve"> </w:t>
      </w:r>
      <w:r w:rsidRPr="008360C2">
        <w:rPr>
          <w:rFonts w:ascii="Times New Roman" w:hAnsi="Times New Roman" w:cs="Times New Roman"/>
          <w:sz w:val="24"/>
          <w:szCs w:val="24"/>
          <w:rtl/>
        </w:rPr>
        <w:t>פ"ה</w:t>
      </w:r>
      <w:r w:rsidRPr="008360C2">
        <w:rPr>
          <w:rFonts w:ascii="Times New Roman" w:hAnsi="Times New Roman" w:cs="Times New Roman"/>
          <w:sz w:val="28"/>
          <w:szCs w:val="28"/>
          <w:rtl/>
        </w:rPr>
        <w:t>) לפום צערא אגרא, בודאי השכר הוא לפי הטורח והוצאה שיש לאדם</w:t>
      </w:r>
      <w:r w:rsidRPr="008360C2">
        <w:rPr>
          <w:rFonts w:ascii="Times New Roman" w:hAnsi="Times New Roman" w:cs="Times New Roman"/>
          <w:sz w:val="28"/>
          <w:szCs w:val="28"/>
        </w:rPr>
        <w:t>.</w:t>
      </w:r>
    </w:p>
    <w:p w14:paraId="4FE7EF5F" w14:textId="5E228A22" w:rsidR="00D348E3" w:rsidRPr="008360C2" w:rsidRDefault="00D348E3" w:rsidP="00D348E3">
      <w:pPr>
        <w:bidi/>
        <w:jc w:val="both"/>
        <w:rPr>
          <w:rFonts w:ascii="Times New Roman" w:hAnsi="Times New Roman" w:cs="Times New Roman"/>
          <w:sz w:val="28"/>
          <w:szCs w:val="28"/>
        </w:rPr>
      </w:pPr>
      <w:r w:rsidRPr="008360C2">
        <w:rPr>
          <w:rFonts w:ascii="Times New Roman" w:hAnsi="Times New Roman" w:cs="Times New Roman"/>
          <w:sz w:val="28"/>
          <w:szCs w:val="28"/>
          <w:rtl/>
        </w:rPr>
        <w:t>וכן גבי דם פירושו, דמה שאמר למען יטב לך לא נאמר בשביל המצוה עצמה, רק השכר הזה בשביל שלפעמים חומד האדם לדם בשביל שהוא רעב אף על גב שהאדם נפשו קצה בו, ועל זה השכר באה כדי ללמוד ק"ו</w:t>
      </w:r>
      <w:r w:rsidR="009639A0" w:rsidRPr="008360C2">
        <w:rPr>
          <w:rStyle w:val="Appelnotedebasdep"/>
          <w:rFonts w:ascii="Times New Roman" w:hAnsi="Times New Roman" w:cs="Times New Roman"/>
          <w:sz w:val="28"/>
          <w:szCs w:val="28"/>
          <w:rtl/>
        </w:rPr>
        <w:footnoteReference w:id="2"/>
      </w:r>
      <w:r w:rsidRPr="008360C2">
        <w:rPr>
          <w:rFonts w:ascii="Times New Roman" w:hAnsi="Times New Roman" w:cs="Times New Roman"/>
          <w:sz w:val="28"/>
          <w:szCs w:val="28"/>
          <w:rtl/>
        </w:rPr>
        <w:t xml:space="preserve">. דאל"כ למה כתב למען יטב לך גבי דם ביותר משאר מצות. ועוד כי דם מצות לא תעשה אין שכר עליהן בעצמם כלל רק בשביל הצער ולא בשביל המצוה עצמה, דהכי איכא בפ"ק </w:t>
      </w:r>
      <w:r w:rsidRPr="008360C2">
        <w:rPr>
          <w:rFonts w:ascii="Times New Roman" w:hAnsi="Times New Roman" w:cs="Times New Roman"/>
          <w:b/>
          <w:bCs/>
          <w:sz w:val="28"/>
          <w:szCs w:val="28"/>
          <w:rtl/>
        </w:rPr>
        <w:lastRenderedPageBreak/>
        <w:t>דקדושין</w:t>
      </w:r>
      <w:r w:rsidRPr="008360C2">
        <w:rPr>
          <w:rFonts w:ascii="Times New Roman" w:hAnsi="Times New Roman" w:cs="Times New Roman"/>
          <w:sz w:val="28"/>
          <w:szCs w:val="28"/>
          <w:rtl/>
        </w:rPr>
        <w:t xml:space="preserve"> </w:t>
      </w:r>
      <w:r w:rsidRPr="008360C2">
        <w:rPr>
          <w:rFonts w:ascii="Times New Roman" w:hAnsi="Times New Roman" w:cs="Times New Roman"/>
          <w:sz w:val="24"/>
          <w:szCs w:val="24"/>
          <w:rtl/>
        </w:rPr>
        <w:t xml:space="preserve">(ל"ט ב') </w:t>
      </w:r>
      <w:r w:rsidRPr="008360C2">
        <w:rPr>
          <w:rFonts w:ascii="Times New Roman" w:hAnsi="Times New Roman" w:cs="Times New Roman"/>
          <w:sz w:val="28"/>
          <w:szCs w:val="28"/>
          <w:rtl/>
        </w:rPr>
        <w:t>דאמר התם העושה מצוה אחת מטיבין לו ופריך מצות עשה אין ומצות לא תעשה לא והתניא ישב אדם ולא עבר עבירה נותנין לו שכר כעושה מצוה ומשני כשבא דבר עבירה לידו. ופי' שאין שכר על מצות לא תעשה בעצמם, רק כשבא עבירה לידו ומתאוה לעבירה וכופה את יצרו ונותנין לו שכר בשביל הצער שכופה את יצרו. ומעתה מה שאמרה תורה בדם למען יטב לך היינו כשבא עבירה לידו דהיינו שמתאוה לדם ואינו אוכל ונותן לו השכר הזה למען יטב לך ולבניך, ק"ו עבירות שהאדם מתאוה להם לגמרי שיש שכר על זה''.</w:t>
      </w:r>
      <w:bookmarkEnd w:id="0"/>
    </w:p>
    <w:sectPr w:rsidR="00D348E3" w:rsidRPr="008360C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B4D2" w14:textId="77777777" w:rsidR="00CE7548" w:rsidRDefault="00CE7548" w:rsidP="00AC4F55">
      <w:pPr>
        <w:spacing w:after="0" w:line="240" w:lineRule="auto"/>
      </w:pPr>
      <w:r>
        <w:separator/>
      </w:r>
    </w:p>
  </w:endnote>
  <w:endnote w:type="continuationSeparator" w:id="0">
    <w:p w14:paraId="3A663CEF" w14:textId="77777777" w:rsidR="00CE7548" w:rsidRDefault="00CE7548" w:rsidP="00AC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EE4CF" w14:textId="77777777" w:rsidR="00CE7548" w:rsidRDefault="00CE7548" w:rsidP="00AC4F55">
      <w:pPr>
        <w:spacing w:after="0" w:line="240" w:lineRule="auto"/>
      </w:pPr>
      <w:r>
        <w:separator/>
      </w:r>
    </w:p>
  </w:footnote>
  <w:footnote w:type="continuationSeparator" w:id="0">
    <w:p w14:paraId="5BDA8F23" w14:textId="77777777" w:rsidR="00CE7548" w:rsidRDefault="00CE7548" w:rsidP="00AC4F55">
      <w:pPr>
        <w:spacing w:after="0" w:line="240" w:lineRule="auto"/>
      </w:pPr>
      <w:r>
        <w:continuationSeparator/>
      </w:r>
    </w:p>
  </w:footnote>
  <w:footnote w:id="1">
    <w:p w14:paraId="0AF4AED2" w14:textId="7B64E503" w:rsidR="00AC4F55" w:rsidRPr="008360C2" w:rsidRDefault="00AC4F55" w:rsidP="00AC4F55">
      <w:pPr>
        <w:pStyle w:val="Notedebasdepage"/>
        <w:bidi/>
        <w:jc w:val="both"/>
        <w:rPr>
          <w:rFonts w:ascii="Times New Roman" w:hAnsi="Times New Roman" w:cs="Times New Roman"/>
          <w:rtl/>
        </w:rPr>
      </w:pPr>
      <w:r w:rsidRPr="008360C2">
        <w:rPr>
          <w:rStyle w:val="Appelnotedebasdep"/>
          <w:rFonts w:ascii="Times New Roman" w:hAnsi="Times New Roman" w:cs="Times New Roman"/>
        </w:rPr>
        <w:footnoteRef/>
      </w:r>
      <w:r w:rsidRPr="008360C2">
        <w:rPr>
          <w:rFonts w:ascii="Times New Roman" w:hAnsi="Times New Roman" w:cs="Times New Roman"/>
        </w:rPr>
        <w:t xml:space="preserve"> </w:t>
      </w:r>
      <w:r w:rsidRPr="008360C2">
        <w:rPr>
          <w:rFonts w:ascii="Times New Roman" w:hAnsi="Times New Roman" w:cs="Times New Roman"/>
          <w:rtl/>
        </w:rPr>
        <w:t xml:space="preserve"> ועיי''ש </w:t>
      </w:r>
      <w:r w:rsidRPr="008360C2">
        <w:rPr>
          <w:rFonts w:ascii="Times New Roman" w:hAnsi="Times New Roman" w:cs="Times New Roman"/>
          <w:b/>
          <w:bCs/>
          <w:rtl/>
        </w:rPr>
        <w:t>רש''י</w:t>
      </w:r>
      <w:r w:rsidRPr="008360C2">
        <w:rPr>
          <w:rFonts w:ascii="Times New Roman" w:hAnsi="Times New Roman" w:cs="Times New Roman"/>
          <w:rtl/>
        </w:rPr>
        <w:t xml:space="preserve"> שפירש ''</w:t>
      </w:r>
      <w:r w:rsidRPr="008360C2">
        <w:rPr>
          <w:rFonts w:ascii="Times New Roman" w:hAnsi="Times New Roman" w:cs="Times New Roman"/>
          <w:b/>
          <w:bCs/>
          <w:rtl/>
        </w:rPr>
        <w:t>עד שליש משלו</w:t>
      </w:r>
      <w:r w:rsidRPr="008360C2">
        <w:rPr>
          <w:rFonts w:ascii="Times New Roman" w:hAnsi="Times New Roman" w:cs="Times New Roman"/>
          <w:rtl/>
        </w:rPr>
        <w:t>. דהיינו אותו שליש שיוסיף בהידור מצוה משלו הוא שאינו נפרע לו בחייו כדאמרינן היום לעשותם ולא היום ליטול שכרם (ע''ז דף ג.):</w:t>
      </w:r>
      <w:r w:rsidRPr="008360C2">
        <w:rPr>
          <w:rFonts w:ascii="Times New Roman" w:hAnsi="Times New Roman" w:cs="Times New Roman"/>
          <w:b/>
          <w:bCs/>
          <w:rtl/>
        </w:rPr>
        <w:t xml:space="preserve"> מכאן ואילך</w:t>
      </w:r>
      <w:r w:rsidRPr="008360C2">
        <w:rPr>
          <w:rFonts w:ascii="Times New Roman" w:hAnsi="Times New Roman" w:cs="Times New Roman"/>
          <w:rtl/>
        </w:rPr>
        <w:t>. מה שיוסיף בהידור יותר על שליש יפרע לו הקב''ה בחייו''.</w:t>
      </w:r>
    </w:p>
  </w:footnote>
  <w:footnote w:id="2">
    <w:p w14:paraId="6E1A1251" w14:textId="08C2F046" w:rsidR="009639A0" w:rsidRPr="008360C2" w:rsidRDefault="009639A0" w:rsidP="009639A0">
      <w:pPr>
        <w:pStyle w:val="Notedebasdepage"/>
        <w:bidi/>
        <w:jc w:val="both"/>
        <w:rPr>
          <w:rFonts w:ascii="Times New Roman" w:hAnsi="Times New Roman" w:cs="Times New Roman"/>
          <w:rtl/>
        </w:rPr>
      </w:pPr>
      <w:r w:rsidRPr="008360C2">
        <w:rPr>
          <w:rStyle w:val="Appelnotedebasdep"/>
          <w:rFonts w:ascii="Times New Roman" w:hAnsi="Times New Roman" w:cs="Times New Roman"/>
        </w:rPr>
        <w:footnoteRef/>
      </w:r>
      <w:r w:rsidRPr="008360C2">
        <w:rPr>
          <w:rFonts w:ascii="Times New Roman" w:hAnsi="Times New Roman" w:cs="Times New Roman"/>
        </w:rPr>
        <w:t xml:space="preserve"> </w:t>
      </w:r>
      <w:r w:rsidRPr="008360C2">
        <w:rPr>
          <w:rFonts w:ascii="Times New Roman" w:hAnsi="Times New Roman" w:cs="Times New Roman"/>
          <w:rtl/>
        </w:rPr>
        <w:t xml:space="preserve"> וזה מדוייק מהמשנה שכתבה ''</w:t>
      </w:r>
      <w:r w:rsidRPr="008360C2">
        <w:rPr>
          <w:rFonts w:ascii="Times New Roman" w:hAnsi="Times New Roman" w:cs="Times New Roman"/>
          <w:u w:val="single"/>
          <w:rtl/>
        </w:rPr>
        <w:t>הפורש ממנו</w:t>
      </w:r>
      <w:r w:rsidRPr="008360C2">
        <w:rPr>
          <w:rFonts w:ascii="Times New Roman" w:hAnsi="Times New Roman" w:cs="Times New Roman"/>
          <w:rtl/>
        </w:rPr>
        <w:t xml:space="preserve"> מקבל שכר''.</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88"/>
    <w:rsid w:val="00133F88"/>
    <w:rsid w:val="00297F1B"/>
    <w:rsid w:val="005136FE"/>
    <w:rsid w:val="0080386D"/>
    <w:rsid w:val="008360C2"/>
    <w:rsid w:val="009639A0"/>
    <w:rsid w:val="00AC4F55"/>
    <w:rsid w:val="00B26DF4"/>
    <w:rsid w:val="00B8591F"/>
    <w:rsid w:val="00BF54E5"/>
    <w:rsid w:val="00CC607A"/>
    <w:rsid w:val="00CE7548"/>
    <w:rsid w:val="00D348E3"/>
    <w:rsid w:val="00FA15B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21CD"/>
  <w15:chartTrackingRefBased/>
  <w15:docId w15:val="{2E85D090-6F9C-40D3-A9AC-F00A205D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C4F5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C4F55"/>
    <w:rPr>
      <w:noProof/>
      <w:sz w:val="20"/>
      <w:szCs w:val="20"/>
    </w:rPr>
  </w:style>
  <w:style w:type="character" w:styleId="Appelnotedebasdep">
    <w:name w:val="footnote reference"/>
    <w:basedOn w:val="Policepardfaut"/>
    <w:uiPriority w:val="99"/>
    <w:semiHidden/>
    <w:unhideWhenUsed/>
    <w:rsid w:val="00AC4F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A51C-594F-4D65-A439-EDAB09006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391</Words>
  <Characters>2154</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2022-03-27T07:24:00Z</dcterms:created>
  <dcterms:modified xsi:type="dcterms:W3CDTF">2025-06-21T19:44:00Z</dcterms:modified>
</cp:coreProperties>
</file>