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B4E9" w14:textId="7E800C35" w:rsidR="001D2779" w:rsidRPr="00F12AA2" w:rsidRDefault="00C77410" w:rsidP="00C77410">
      <w:pPr>
        <w:bidi/>
        <w:ind w:left="3540"/>
        <w:jc w:val="both"/>
        <w:rPr>
          <w:rFonts w:asciiTheme="majorBidi" w:hAnsiTheme="majorBidi" w:cstheme="majorBidi"/>
          <w:sz w:val="56"/>
          <w:szCs w:val="56"/>
          <w:u w:val="single"/>
          <w:rtl/>
        </w:rPr>
      </w:pPr>
      <w:r w:rsidRPr="00F12AA2">
        <w:rPr>
          <w:rFonts w:asciiTheme="majorBidi" w:hAnsiTheme="majorBidi" w:cstheme="majorBidi"/>
          <w:sz w:val="56"/>
          <w:szCs w:val="56"/>
          <w:u w:val="single"/>
          <w:rtl/>
        </w:rPr>
        <w:t>תאוות</w:t>
      </w:r>
    </w:p>
    <w:p w14:paraId="11614405" w14:textId="5B7B238B" w:rsidR="00C77410" w:rsidRPr="00F12AA2" w:rsidRDefault="00C77410" w:rsidP="00C77410">
      <w:pPr>
        <w:bidi/>
        <w:jc w:val="both"/>
        <w:rPr>
          <w:rFonts w:asciiTheme="majorBidi" w:hAnsiTheme="majorBidi" w:cstheme="majorBidi"/>
          <w:sz w:val="28"/>
          <w:szCs w:val="28"/>
          <w:rtl/>
        </w:rPr>
      </w:pPr>
    </w:p>
    <w:p w14:paraId="1E0F8063" w14:textId="53BD173A" w:rsidR="00C77410" w:rsidRPr="00F12AA2" w:rsidRDefault="00C77410" w:rsidP="00C77410">
      <w:pPr>
        <w:bidi/>
        <w:jc w:val="both"/>
        <w:rPr>
          <w:rFonts w:asciiTheme="majorBidi" w:hAnsiTheme="majorBidi" w:cstheme="majorBidi"/>
          <w:sz w:val="28"/>
          <w:szCs w:val="28"/>
          <w:rtl/>
        </w:rPr>
      </w:pPr>
    </w:p>
    <w:p w14:paraId="0D56FAEB" w14:textId="4B7DB93C" w:rsidR="008C4E32" w:rsidRPr="00F12AA2" w:rsidRDefault="008C4E32" w:rsidP="00C77410">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תאוות הוא פחיתות מדות לנפשו</w:t>
      </w:r>
    </w:p>
    <w:p w14:paraId="4EB046D9" w14:textId="29A72C30" w:rsidR="00C77410" w:rsidRPr="00F12AA2" w:rsidRDefault="00C77410" w:rsidP="008C4E32">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כתוב </w:t>
      </w:r>
      <w:r w:rsidRPr="00F12AA2">
        <w:rPr>
          <w:rFonts w:asciiTheme="majorBidi" w:eastAsia="Calibri" w:hAnsiTheme="majorBidi" w:cstheme="majorBidi"/>
          <w:b/>
          <w:bCs/>
          <w:sz w:val="28"/>
          <w:szCs w:val="28"/>
          <w:rtl/>
        </w:rPr>
        <w:t>באבות</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(א, ה) </w:t>
      </w:r>
      <w:r w:rsidRPr="00F12AA2">
        <w:rPr>
          <w:rFonts w:asciiTheme="majorBidi" w:eastAsia="Calibri" w:hAnsiTheme="majorBidi" w:cstheme="majorBidi"/>
          <w:sz w:val="28"/>
          <w:szCs w:val="28"/>
          <w:rtl/>
        </w:rPr>
        <w:t>''וְאַל תַּרְבֶּה שִׂיחָה עִם הָאִשָּׁה. בְּאִשְׁתּוֹ אָמְרוּ, קַל וָחֹמֶר בְּאֵשֶׁת חֲבֵרוֹ. מִכָּאן אָמְרוּ חֲכָמִים, כָּל זְמַן שֶׁאָדָם מַרְבֶּה שִׂיחָה עִם הָאִשָּׁה, גּוֹרֵם רָעָה לְעַצְמוֹ''.</w:t>
      </w:r>
    </w:p>
    <w:p w14:paraId="5B9AC567" w14:textId="77777777" w:rsidR="00C77410" w:rsidRPr="00F12AA2" w:rsidRDefault="00C77410" w:rsidP="00C77410">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הרמב''ם</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(שם) </w:t>
      </w:r>
      <w:r w:rsidRPr="00F12AA2">
        <w:rPr>
          <w:rFonts w:asciiTheme="majorBidi" w:eastAsia="Calibri" w:hAnsiTheme="majorBidi" w:cstheme="majorBidi"/>
          <w:sz w:val="28"/>
          <w:szCs w:val="28"/>
          <w:rtl/>
        </w:rPr>
        <w:t>''</w:t>
      </w:r>
      <w:r w:rsidRPr="00F12AA2">
        <w:rPr>
          <w:rFonts w:asciiTheme="majorBidi" w:eastAsia="Calibri" w:hAnsiTheme="majorBidi" w:cstheme="majorBidi"/>
          <w:b/>
          <w:bCs/>
          <w:sz w:val="28"/>
          <w:szCs w:val="28"/>
          <w:rtl/>
        </w:rPr>
        <w:t>באשתו אמרו.</w:t>
      </w:r>
      <w:r w:rsidRPr="00F12AA2">
        <w:rPr>
          <w:rFonts w:asciiTheme="majorBidi" w:eastAsia="Calibri" w:hAnsiTheme="majorBidi" w:cstheme="majorBidi"/>
          <w:sz w:val="28"/>
          <w:szCs w:val="28"/>
          <w:rtl/>
        </w:rPr>
        <w:t xml:space="preserve"> ידוע שהשיחה עם הנשים על הרוב הוא בעניני המשגל מפני זה אמר שהרבות השיח עמהן אסור כי הוא גורם רעה לעצמו ר"ל שיקנה פחיתות מדות לנפשו והוא רוב התאוה''.</w:t>
      </w:r>
    </w:p>
    <w:p w14:paraId="5B93E0B3" w14:textId="6FC07CB4" w:rsidR="00C77410" w:rsidRPr="00F12AA2" w:rsidRDefault="00C77410" w:rsidP="00C77410">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 xml:space="preserve">התוס' יו''ט </w:t>
      </w:r>
      <w:r w:rsidRPr="00F12AA2">
        <w:rPr>
          <w:rFonts w:asciiTheme="majorBidi" w:eastAsia="Calibri" w:hAnsiTheme="majorBidi" w:cstheme="majorBidi"/>
          <w:sz w:val="28"/>
          <w:szCs w:val="28"/>
          <w:rtl/>
        </w:rPr>
        <w:t>''בֵּין בִּהְיוֹתָהּ טְמֵאָה, שֶׁהַדִּבּוּר מֵבִיא לִידֵי תַּאֲוָה וְהַתַּאֲוָה לִידֵי מַעֲשֶׂה, וְאֵין לְךָ רָעָה גְּדוֹלָה מִזּוֹ שֶׁגּוֹרֵם לְעַצְמוֹ. וּבֵין שֶׁהִיא טְהוֹרָה, שֶׁיּוֹתֵר טוֹב הָיָה שֶׁבַּזְּמַן הַהוּא יִהְיֶה עוֹסֵק בְּדִבְרֵי תּוֹרָה, וְזֶהוּ שֶׁאָמַר וּבוֹטֵל מִדִּבְרֵי תּוֹרָה. מִדְרַשׁ שְׁמוּאֵל. וְנֻסְחָא אַחֶרֶת מְדֻיֶּקֶת, כָּל הַמַּרְבֶּה''.</w:t>
      </w:r>
    </w:p>
    <w:p w14:paraId="467CEF6A" w14:textId="41F9903F" w:rsidR="00203547" w:rsidRPr="00F12AA2" w:rsidRDefault="00203547" w:rsidP="00203547">
      <w:pPr>
        <w:bidi/>
        <w:jc w:val="both"/>
        <w:rPr>
          <w:rFonts w:asciiTheme="majorBidi" w:eastAsia="Calibri" w:hAnsiTheme="majorBidi" w:cstheme="majorBidi"/>
          <w:sz w:val="36"/>
          <w:szCs w:val="36"/>
          <w:u w:val="single"/>
          <w:rtl/>
        </w:rPr>
      </w:pPr>
    </w:p>
    <w:p w14:paraId="1E1F9974" w14:textId="79DC8655" w:rsidR="00203547" w:rsidRPr="00F12AA2" w:rsidRDefault="00203547" w:rsidP="00203547">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דומה למים מלוחים</w:t>
      </w:r>
    </w:p>
    <w:p w14:paraId="1C1A5E32" w14:textId="206A6F91" w:rsidR="00203547" w:rsidRPr="00F12AA2" w:rsidRDefault="00203547" w:rsidP="00203547">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עי' </w:t>
      </w:r>
      <w:r w:rsidRPr="00F12AA2">
        <w:rPr>
          <w:rFonts w:asciiTheme="majorBidi" w:eastAsia="Calibri" w:hAnsiTheme="majorBidi" w:cstheme="majorBidi"/>
          <w:b/>
          <w:bCs/>
          <w:sz w:val="28"/>
          <w:szCs w:val="28"/>
          <w:rtl/>
        </w:rPr>
        <w:t>באגרת</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b/>
          <w:bCs/>
          <w:sz w:val="28"/>
          <w:szCs w:val="28"/>
          <w:rtl/>
        </w:rPr>
        <w:t>הגר''א</w:t>
      </w:r>
      <w:r w:rsidRPr="00F12AA2">
        <w:rPr>
          <w:rFonts w:asciiTheme="majorBidi" w:eastAsia="Calibri" w:hAnsiTheme="majorBidi" w:cstheme="majorBidi"/>
          <w:sz w:val="28"/>
          <w:szCs w:val="28"/>
          <w:rtl/>
        </w:rPr>
        <w:t xml:space="preserve"> שכותב ''והעולם דומה לשותה מים מלוחים, ידמה לו שמרוה [צמאונו] ויצמא יותר. אין אדם מת וחצי תאוותו בידו''</w:t>
      </w:r>
      <w:r w:rsidR="00C22776" w:rsidRPr="00F12AA2">
        <w:rPr>
          <w:rFonts w:asciiTheme="majorBidi" w:eastAsia="Calibri" w:hAnsiTheme="majorBidi" w:cstheme="majorBidi"/>
          <w:sz w:val="28"/>
          <w:szCs w:val="28"/>
          <w:rtl/>
        </w:rPr>
        <w:t>.</w:t>
      </w:r>
    </w:p>
    <w:p w14:paraId="70942B7A" w14:textId="77777777" w:rsidR="00C22776" w:rsidRPr="00F12AA2" w:rsidRDefault="00C22776" w:rsidP="00C22776">
      <w:pPr>
        <w:bidi/>
        <w:jc w:val="both"/>
        <w:rPr>
          <w:rFonts w:asciiTheme="majorBidi" w:eastAsia="Calibri" w:hAnsiTheme="majorBidi" w:cstheme="majorBidi"/>
          <w:sz w:val="28"/>
          <w:szCs w:val="28"/>
          <w:rtl/>
        </w:rPr>
      </w:pPr>
    </w:p>
    <w:p w14:paraId="3CE883D7" w14:textId="20FC0E23" w:rsidR="00C22776" w:rsidRPr="00F12AA2" w:rsidRDefault="00C22776" w:rsidP="00C22776">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המסלקם מעליו הוא במדרגת מלאך, והמגבירם הוא במדרגת בהמה</w:t>
      </w:r>
    </w:p>
    <w:p w14:paraId="756E466E" w14:textId="772D6891" w:rsidR="00C22776" w:rsidRPr="00F12AA2" w:rsidRDefault="00C22776" w:rsidP="00C22776">
      <w:pPr>
        <w:bidi/>
        <w:jc w:val="both"/>
        <w:rPr>
          <w:rFonts w:asciiTheme="majorBidi" w:eastAsia="Calibri" w:hAnsiTheme="majorBidi" w:cstheme="majorBidi"/>
          <w:sz w:val="28"/>
          <w:szCs w:val="28"/>
          <w:rtl/>
        </w:rPr>
      </w:pPr>
      <w:bookmarkStart w:id="0" w:name="_Hlk152757752"/>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הרבינו בחיי</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(הקדמה לפר' קדושים) </w:t>
      </w:r>
      <w:bookmarkEnd w:id="0"/>
      <w:r w:rsidRPr="00F12AA2">
        <w:rPr>
          <w:rFonts w:asciiTheme="majorBidi" w:eastAsia="Calibri" w:hAnsiTheme="majorBidi" w:cstheme="majorBidi"/>
          <w:sz w:val="28"/>
          <w:szCs w:val="28"/>
          <w:rtl/>
        </w:rPr>
        <w:t>''</w:t>
      </w:r>
      <w:bookmarkStart w:id="1" w:name="_Hlk152757387"/>
      <w:r w:rsidRPr="00F12AA2">
        <w:rPr>
          <w:rFonts w:asciiTheme="majorBidi" w:eastAsia="Calibri" w:hAnsiTheme="majorBidi" w:cstheme="majorBidi"/>
          <w:sz w:val="28"/>
          <w:szCs w:val="28"/>
          <w:rtl/>
        </w:rPr>
        <w:t xml:space="preserve">תַּאֲוָה נִהְיָה תֶּעֱרַב לְנָפֶשׁ וְתוֹעֲבַת כְּסִילִים סוּר מֵרָע. </w:t>
      </w:r>
      <w:bookmarkEnd w:id="1"/>
      <w:r w:rsidRPr="00F12AA2">
        <w:rPr>
          <w:rFonts w:asciiTheme="majorBidi" w:eastAsia="Calibri" w:hAnsiTheme="majorBidi" w:cstheme="majorBidi"/>
          <w:sz w:val="24"/>
          <w:szCs w:val="24"/>
          <w:rtl/>
        </w:rPr>
        <w:t>(משלי יג, יט)</w:t>
      </w:r>
      <w:r w:rsidRPr="00F12AA2">
        <w:rPr>
          <w:rFonts w:asciiTheme="majorBidi" w:eastAsia="Calibri" w:hAnsiTheme="majorBidi" w:cstheme="majorBidi"/>
          <w:sz w:val="24"/>
          <w:szCs w:val="24"/>
        </w:rPr>
        <w:t>.</w:t>
      </w:r>
      <w:r w:rsidRPr="00F12AA2">
        <w:rPr>
          <w:rFonts w:asciiTheme="majorBidi" w:eastAsia="Calibri" w:hAnsiTheme="majorBidi" w:cstheme="majorBidi"/>
          <w:sz w:val="24"/>
          <w:szCs w:val="24"/>
          <w:rtl/>
        </w:rPr>
        <w:t xml:space="preserve"> </w:t>
      </w:r>
      <w:r w:rsidRPr="00F12AA2">
        <w:rPr>
          <w:rFonts w:asciiTheme="majorBidi" w:eastAsia="Calibri" w:hAnsiTheme="majorBidi" w:cstheme="majorBidi"/>
          <w:sz w:val="28"/>
          <w:szCs w:val="28"/>
          <w:u w:val="single"/>
          <w:rtl/>
        </w:rPr>
        <w:t>שלמה המלך ע"ה יזהיר בכתוב הזה על האדם שלא ימשך אחר התאוות אלא שיכניע אותם ויסלקם מעליו, כי כל המסלק אותם מעליו ומתגבר עליהן הנה הוא במדרגת מלאך, וכל המגביר תאוותיו עליו הנה הוא במדרגת בהמה</w:t>
      </w:r>
      <w:r w:rsidRPr="00F12AA2">
        <w:rPr>
          <w:rFonts w:asciiTheme="majorBidi" w:eastAsia="Calibri" w:hAnsiTheme="majorBidi" w:cstheme="majorBidi"/>
          <w:sz w:val="28"/>
          <w:szCs w:val="28"/>
          <w:rtl/>
        </w:rPr>
        <w:t>''.</w:t>
      </w:r>
    </w:p>
    <w:p w14:paraId="4BDA25E3" w14:textId="77777777" w:rsidR="00C22776" w:rsidRPr="00F12AA2" w:rsidRDefault="00C22776" w:rsidP="00C22776">
      <w:pPr>
        <w:bidi/>
        <w:jc w:val="both"/>
        <w:rPr>
          <w:rFonts w:asciiTheme="majorBidi" w:eastAsia="Calibri" w:hAnsiTheme="majorBidi" w:cstheme="majorBidi"/>
          <w:sz w:val="28"/>
          <w:szCs w:val="28"/>
          <w:rtl/>
        </w:rPr>
      </w:pPr>
    </w:p>
    <w:p w14:paraId="2532A5F4" w14:textId="2716DFDC" w:rsidR="00C22776" w:rsidRPr="00F12AA2" w:rsidRDefault="00C22776" w:rsidP="00C22776">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הוא עובר על התורה כולה</w:t>
      </w:r>
    </w:p>
    <w:p w14:paraId="3A0E89CD" w14:textId="5B2070E6" w:rsidR="00C22776" w:rsidRPr="00F12AA2" w:rsidRDefault="00C22776" w:rsidP="00C22776">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הרבינו בחיי</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(הקדמה לפר' קדושים) </w:t>
      </w:r>
      <w:r w:rsidRPr="00F12AA2">
        <w:rPr>
          <w:rFonts w:asciiTheme="majorBidi" w:eastAsia="Calibri" w:hAnsiTheme="majorBidi" w:cstheme="majorBidi"/>
          <w:sz w:val="28"/>
          <w:szCs w:val="28"/>
          <w:rtl/>
        </w:rPr>
        <w:t xml:space="preserve">''ומנין שהנמשך אחר התאוות הוא עובר על התורה כולה, </w:t>
      </w:r>
      <w:bookmarkStart w:id="2" w:name="_Hlk152757951"/>
      <w:r w:rsidRPr="00F12AA2">
        <w:rPr>
          <w:rFonts w:asciiTheme="majorBidi" w:eastAsia="Calibri" w:hAnsiTheme="majorBidi" w:cstheme="majorBidi"/>
          <w:sz w:val="28"/>
          <w:szCs w:val="28"/>
          <w:rtl/>
        </w:rPr>
        <w:t xml:space="preserve">הלא </w:t>
      </w:r>
      <w:r w:rsidRPr="00F12AA2">
        <w:rPr>
          <w:rFonts w:asciiTheme="majorBidi" w:eastAsia="Calibri" w:hAnsiTheme="majorBidi" w:cstheme="majorBidi"/>
          <w:b/>
          <w:bCs/>
          <w:sz w:val="28"/>
          <w:szCs w:val="28"/>
          <w:rtl/>
        </w:rPr>
        <w:t>המלך שלמה</w:t>
      </w:r>
      <w:r w:rsidRPr="00F12AA2">
        <w:rPr>
          <w:rFonts w:asciiTheme="majorBidi" w:eastAsia="Calibri" w:hAnsiTheme="majorBidi" w:cstheme="majorBidi"/>
          <w:sz w:val="28"/>
          <w:szCs w:val="28"/>
          <w:rtl/>
        </w:rPr>
        <w:t xml:space="preserve"> גלה לנו הענין הזה שאמר: (משלי יח, א) "לתאוה יבקש נפרד בכל תושיה יתגלע", יאמר: כי מי שרודף אחר התאוה ומבקש אותו ימצא עצמו נפרד, כלומר יחידי שלא ישאר לו ריע ועמית שהכל בורחין ממנו מסתלקים מעליו לרוע הנהגתו</w:t>
      </w:r>
      <w:bookmarkEnd w:id="2"/>
      <w:r w:rsidRPr="00F12AA2">
        <w:rPr>
          <w:rFonts w:asciiTheme="majorBidi" w:eastAsia="Calibri" w:hAnsiTheme="majorBidi" w:cstheme="majorBidi"/>
          <w:sz w:val="28"/>
          <w:szCs w:val="28"/>
          <w:rtl/>
        </w:rPr>
        <w:t>, והנה זה בועט ומגלה פנים בתורה, זהו: "בכל תושיה יתגלע".</w:t>
      </w:r>
    </w:p>
    <w:p w14:paraId="4DA94CAD" w14:textId="77777777" w:rsidR="00C22776" w:rsidRPr="00F12AA2" w:rsidRDefault="00C22776" w:rsidP="00C22776">
      <w:pPr>
        <w:bidi/>
        <w:jc w:val="both"/>
        <w:rPr>
          <w:rFonts w:asciiTheme="majorBidi" w:eastAsia="Calibri" w:hAnsiTheme="majorBidi" w:cstheme="majorBidi"/>
          <w:sz w:val="28"/>
          <w:szCs w:val="28"/>
          <w:rtl/>
        </w:rPr>
      </w:pPr>
    </w:p>
    <w:p w14:paraId="62FA9F02" w14:textId="735F8217" w:rsidR="00C22776" w:rsidRPr="00F12AA2" w:rsidRDefault="00C22776" w:rsidP="00C22776">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lastRenderedPageBreak/>
        <w:t>הפורש מן התאוות נקרא קדוש</w:t>
      </w:r>
    </w:p>
    <w:p w14:paraId="424CAA9F" w14:textId="58AE85AE" w:rsidR="00C22776" w:rsidRPr="00F12AA2" w:rsidRDefault="00C22776" w:rsidP="00C22776">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bookmarkStart w:id="3" w:name="_Hlk152757926"/>
      <w:r w:rsidRPr="00F12AA2">
        <w:rPr>
          <w:rFonts w:asciiTheme="majorBidi" w:eastAsia="Calibri" w:hAnsiTheme="majorBidi" w:cstheme="majorBidi"/>
          <w:b/>
          <w:bCs/>
          <w:sz w:val="28"/>
          <w:szCs w:val="28"/>
          <w:rtl/>
        </w:rPr>
        <w:t>הרבינו בחיי</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(הקדמה לפר' קדושים) </w:t>
      </w:r>
      <w:r w:rsidRPr="00F12AA2">
        <w:rPr>
          <w:rFonts w:asciiTheme="majorBidi" w:eastAsia="Calibri" w:hAnsiTheme="majorBidi" w:cstheme="majorBidi"/>
          <w:sz w:val="28"/>
          <w:szCs w:val="28"/>
          <w:rtl/>
        </w:rPr>
        <w:t xml:space="preserve"> </w:t>
      </w:r>
      <w:bookmarkEnd w:id="3"/>
      <w:r w:rsidRPr="00F12AA2">
        <w:rPr>
          <w:rFonts w:asciiTheme="majorBidi" w:eastAsia="Calibri" w:hAnsiTheme="majorBidi" w:cstheme="majorBidi"/>
          <w:sz w:val="28"/>
          <w:szCs w:val="28"/>
          <w:u w:val="single"/>
          <w:rtl/>
        </w:rPr>
        <w:t>וכל הפורש עצמו מן התאוות נקרא קדוש, שכן מצינו בנזיר שלא פורש אלא מהיין בלבד נקרא קדוש</w:t>
      </w:r>
      <w:r w:rsidRPr="00F12AA2">
        <w:rPr>
          <w:rFonts w:asciiTheme="majorBidi" w:eastAsia="Calibri" w:hAnsiTheme="majorBidi" w:cstheme="majorBidi"/>
          <w:sz w:val="28"/>
          <w:szCs w:val="28"/>
          <w:rtl/>
        </w:rPr>
        <w:t>, שנאמר: (במדבר ו, ה) "קדוש יהיה גדל פרע שער ראשו".</w:t>
      </w:r>
    </w:p>
    <w:p w14:paraId="74F85395" w14:textId="77777777" w:rsidR="00C22776" w:rsidRPr="00F12AA2" w:rsidRDefault="00C22776" w:rsidP="00C22776">
      <w:pPr>
        <w:bidi/>
        <w:jc w:val="both"/>
        <w:rPr>
          <w:rFonts w:asciiTheme="majorBidi" w:eastAsia="Calibri" w:hAnsiTheme="majorBidi" w:cstheme="majorBidi"/>
          <w:sz w:val="28"/>
          <w:szCs w:val="28"/>
          <w:rtl/>
        </w:rPr>
      </w:pPr>
    </w:p>
    <w:p w14:paraId="4F8D3347" w14:textId="4B78C99E" w:rsidR="00C22776" w:rsidRPr="00F12AA2" w:rsidRDefault="00C22776" w:rsidP="00C22776">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הכל בורחים מהבעל תאווה</w:t>
      </w:r>
    </w:p>
    <w:p w14:paraId="49DC039B" w14:textId="3357DD9E" w:rsidR="00C22776" w:rsidRPr="00F12AA2" w:rsidRDefault="00C22776" w:rsidP="00C22776">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הרבינו בחיי</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(הקדמה לפר' קדושים) </w:t>
      </w:r>
      <w:r w:rsidRPr="00F12AA2">
        <w:rPr>
          <w:rFonts w:asciiTheme="majorBidi" w:eastAsia="Calibri" w:hAnsiTheme="majorBidi" w:cstheme="majorBidi"/>
          <w:sz w:val="28"/>
          <w:szCs w:val="28"/>
          <w:rtl/>
        </w:rPr>
        <w:t xml:space="preserve"> ''הלא </w:t>
      </w:r>
      <w:r w:rsidRPr="00F12AA2">
        <w:rPr>
          <w:rFonts w:asciiTheme="majorBidi" w:eastAsia="Calibri" w:hAnsiTheme="majorBidi" w:cstheme="majorBidi"/>
          <w:b/>
          <w:bCs/>
          <w:sz w:val="28"/>
          <w:szCs w:val="28"/>
          <w:rtl/>
        </w:rPr>
        <w:t>המלך שלמה</w:t>
      </w:r>
      <w:r w:rsidRPr="00F12AA2">
        <w:rPr>
          <w:rFonts w:asciiTheme="majorBidi" w:eastAsia="Calibri" w:hAnsiTheme="majorBidi" w:cstheme="majorBidi"/>
          <w:sz w:val="28"/>
          <w:szCs w:val="28"/>
          <w:rtl/>
        </w:rPr>
        <w:t xml:space="preserve"> גלה לנו הענין הזה שאמר: (משלי יח, א) "לתאוה יבקש נפרד בכל תושיה יתגלע", יאמר: כי מי שרודף אחר התאוה ומבקש אותו ימצא עצמו נפרד, כלומר יחידי שלא ישאר לו ריע ועמית שהכל בורחין ממנו מסתלקים מעליו לרוע הנהגתו''.</w:t>
      </w:r>
    </w:p>
    <w:p w14:paraId="6ACCB49A" w14:textId="77777777" w:rsidR="005E406F" w:rsidRPr="00F12AA2" w:rsidRDefault="005E406F" w:rsidP="005E406F">
      <w:pPr>
        <w:bidi/>
        <w:jc w:val="both"/>
        <w:rPr>
          <w:rFonts w:asciiTheme="majorBidi" w:eastAsia="Calibri" w:hAnsiTheme="majorBidi" w:cstheme="majorBidi"/>
          <w:sz w:val="28"/>
          <w:szCs w:val="28"/>
          <w:rtl/>
        </w:rPr>
      </w:pPr>
    </w:p>
    <w:p w14:paraId="374DF725" w14:textId="4E2260FA" w:rsidR="005E406F" w:rsidRPr="00F12AA2" w:rsidRDefault="005E406F" w:rsidP="005E406F">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א''א לשבור תאותו בבת אחת</w:t>
      </w:r>
    </w:p>
    <w:p w14:paraId="180B4F6A" w14:textId="4CF9EE3D" w:rsidR="005E406F" w:rsidRDefault="005E406F" w:rsidP="005E406F">
      <w:pPr>
        <w:bidi/>
        <w:jc w:val="both"/>
        <w:rPr>
          <w:rFonts w:asciiTheme="majorBidi" w:eastAsia="Calibri" w:hAnsiTheme="majorBidi" w:cstheme="majorBidi"/>
          <w:sz w:val="28"/>
          <w:szCs w:val="28"/>
          <w:rtl/>
        </w:rPr>
      </w:pPr>
      <w:r w:rsidRPr="00F12AA2">
        <w:rPr>
          <w:rFonts w:asciiTheme="majorBidi" w:eastAsia="Calibri" w:hAnsiTheme="majorBidi" w:cstheme="majorBidi"/>
          <w:sz w:val="28"/>
          <w:szCs w:val="28"/>
          <w:rtl/>
        </w:rPr>
        <w:t xml:space="preserve">כותב </w:t>
      </w:r>
      <w:r w:rsidRPr="00F12AA2">
        <w:rPr>
          <w:rFonts w:asciiTheme="majorBidi" w:eastAsia="Calibri" w:hAnsiTheme="majorBidi" w:cstheme="majorBidi"/>
          <w:b/>
          <w:bCs/>
          <w:sz w:val="28"/>
          <w:szCs w:val="28"/>
          <w:rtl/>
        </w:rPr>
        <w:t>הגר''א</w:t>
      </w:r>
      <w:r w:rsidRPr="00F12AA2">
        <w:rPr>
          <w:rFonts w:asciiTheme="majorBidi" w:eastAsia="Calibri" w:hAnsiTheme="majorBidi" w:cstheme="majorBidi"/>
          <w:sz w:val="28"/>
          <w:szCs w:val="28"/>
          <w:rtl/>
        </w:rPr>
        <w:t xml:space="preserve"> על </w:t>
      </w:r>
      <w:r w:rsidRPr="00F12AA2">
        <w:rPr>
          <w:rFonts w:asciiTheme="majorBidi" w:eastAsia="Calibri" w:hAnsiTheme="majorBidi" w:cstheme="majorBidi"/>
          <w:b/>
          <w:bCs/>
          <w:sz w:val="28"/>
          <w:szCs w:val="28"/>
          <w:rtl/>
        </w:rPr>
        <w:t>משלי</w:t>
      </w:r>
      <w:r w:rsidRPr="00F12AA2">
        <w:rPr>
          <w:rFonts w:asciiTheme="majorBidi" w:eastAsia="Calibri" w:hAnsiTheme="majorBidi" w:cstheme="majorBidi"/>
          <w:sz w:val="28"/>
          <w:szCs w:val="28"/>
          <w:rtl/>
        </w:rPr>
        <w:t xml:space="preserve"> </w:t>
      </w:r>
      <w:r w:rsidRPr="00F12AA2">
        <w:rPr>
          <w:rFonts w:asciiTheme="majorBidi" w:eastAsia="Calibri" w:hAnsiTheme="majorBidi" w:cstheme="majorBidi"/>
          <w:sz w:val="24"/>
          <w:szCs w:val="24"/>
          <w:rtl/>
        </w:rPr>
        <w:t xml:space="preserve">(ד, טו) </w:t>
      </w:r>
      <w:r w:rsidRPr="00F12AA2">
        <w:rPr>
          <w:rFonts w:asciiTheme="majorBidi" w:eastAsia="Calibri" w:hAnsiTheme="majorBidi" w:cstheme="majorBidi"/>
          <w:sz w:val="28"/>
          <w:szCs w:val="28"/>
          <w:rtl/>
        </w:rPr>
        <w:t>''כי הרוצה לשבור תאותו א''א לקפוץ תכף ולאחוז מיד את הקצה האחרון וההיפוך שהיה רגיל, אלא יתרחק מעט מעט עד שיבוא אל קצה האחרון ואז ישבור את תאותו עד שיעמוד על דרך היושר''.</w:t>
      </w:r>
    </w:p>
    <w:p w14:paraId="59BA5162" w14:textId="77777777" w:rsidR="00F12AA2" w:rsidRDefault="00F12AA2" w:rsidP="00F12AA2">
      <w:pPr>
        <w:bidi/>
        <w:jc w:val="both"/>
        <w:rPr>
          <w:rFonts w:asciiTheme="majorBidi" w:eastAsia="Calibri" w:hAnsiTheme="majorBidi" w:cstheme="majorBidi"/>
          <w:sz w:val="28"/>
          <w:szCs w:val="28"/>
          <w:rtl/>
        </w:rPr>
      </w:pPr>
    </w:p>
    <w:p w14:paraId="7E8A70AE" w14:textId="739A8921" w:rsidR="00F12AA2" w:rsidRPr="00F12AA2" w:rsidRDefault="00F12AA2" w:rsidP="00F12AA2">
      <w:pPr>
        <w:bidi/>
        <w:jc w:val="both"/>
        <w:rPr>
          <w:rFonts w:asciiTheme="majorBidi" w:eastAsia="Calibri" w:hAnsiTheme="majorBidi" w:cstheme="majorBidi"/>
          <w:sz w:val="36"/>
          <w:szCs w:val="36"/>
          <w:u w:val="single"/>
          <w:rtl/>
        </w:rPr>
      </w:pPr>
      <w:r w:rsidRPr="00F12AA2">
        <w:rPr>
          <w:rFonts w:asciiTheme="majorBidi" w:eastAsia="Calibri" w:hAnsiTheme="majorBidi" w:cstheme="majorBidi"/>
          <w:sz w:val="36"/>
          <w:szCs w:val="36"/>
          <w:u w:val="single"/>
          <w:rtl/>
        </w:rPr>
        <w:t>רוב העולם הולכים אחר תאותם</w:t>
      </w:r>
    </w:p>
    <w:p w14:paraId="630CDC11" w14:textId="3ACEB2F3" w:rsidR="00F12AA2" w:rsidRDefault="00F12AA2" w:rsidP="00F12AA2">
      <w:pPr>
        <w:bidi/>
        <w:jc w:val="both"/>
        <w:rPr>
          <w:rFonts w:asciiTheme="majorBidi" w:eastAsia="Calibri" w:hAnsiTheme="majorBidi" w:cstheme="majorBidi"/>
          <w:sz w:val="28"/>
          <w:szCs w:val="28"/>
          <w:rtl/>
        </w:rPr>
      </w:pPr>
      <w:r>
        <w:rPr>
          <w:rFonts w:asciiTheme="majorBidi" w:eastAsia="Calibri" w:hAnsiTheme="majorBidi" w:cstheme="majorBidi" w:hint="cs"/>
          <w:sz w:val="28"/>
          <w:szCs w:val="28"/>
          <w:rtl/>
        </w:rPr>
        <w:t xml:space="preserve">כתוב בפר' </w:t>
      </w:r>
      <w:r w:rsidRPr="00F12AA2">
        <w:rPr>
          <w:rFonts w:asciiTheme="majorBidi" w:eastAsia="Calibri" w:hAnsiTheme="majorBidi" w:cstheme="majorBidi" w:hint="cs"/>
          <w:b/>
          <w:bCs/>
          <w:sz w:val="28"/>
          <w:szCs w:val="28"/>
          <w:rtl/>
        </w:rPr>
        <w:t>נשא</w:t>
      </w:r>
      <w:r>
        <w:rPr>
          <w:rFonts w:asciiTheme="majorBidi" w:eastAsia="Calibri" w:hAnsiTheme="majorBidi" w:cstheme="majorBidi" w:hint="cs"/>
          <w:sz w:val="28"/>
          <w:szCs w:val="28"/>
          <w:rtl/>
        </w:rPr>
        <w:t xml:space="preserve"> </w:t>
      </w:r>
      <w:r w:rsidRPr="00F12AA2">
        <w:rPr>
          <w:rFonts w:asciiTheme="majorBidi" w:eastAsia="Calibri" w:hAnsiTheme="majorBidi" w:cstheme="majorBidi" w:hint="cs"/>
          <w:sz w:val="24"/>
          <w:szCs w:val="24"/>
          <w:rtl/>
        </w:rPr>
        <w:t xml:space="preserve">(ו, א) </w:t>
      </w:r>
      <w:r>
        <w:rPr>
          <w:rFonts w:asciiTheme="majorBidi" w:eastAsia="Calibri" w:hAnsiTheme="majorBidi" w:cstheme="majorBidi" w:hint="cs"/>
          <w:sz w:val="28"/>
          <w:szCs w:val="28"/>
          <w:rtl/>
        </w:rPr>
        <w:t>''</w:t>
      </w:r>
      <w:r w:rsidRPr="00F12AA2">
        <w:rPr>
          <w:rFonts w:asciiTheme="majorBidi" w:eastAsia="Calibri" w:hAnsiTheme="majorBidi" w:cstheme="majorBidi"/>
          <w:sz w:val="28"/>
          <w:szCs w:val="28"/>
          <w:rtl/>
        </w:rPr>
        <w:t>דַּבֵּר אֶל בְּנֵי יִשְׂרָאֵל וְאָמַרְתָּ אֲלֵהֶם אִישׁ אוֹ אִשָּׁה כִּי יַפְלִא לִנְדֹּר נֶדֶר נָזִיר לְהַזִּיר לַיהֹוָה</w:t>
      </w:r>
      <w:r>
        <w:rPr>
          <w:rFonts w:asciiTheme="majorBidi" w:eastAsia="Calibri" w:hAnsiTheme="majorBidi" w:cstheme="majorBidi" w:hint="cs"/>
          <w:sz w:val="28"/>
          <w:szCs w:val="28"/>
          <w:rtl/>
        </w:rPr>
        <w:t>''.</w:t>
      </w:r>
    </w:p>
    <w:p w14:paraId="18DC6182" w14:textId="2FC396B0" w:rsidR="00F12AA2" w:rsidRDefault="00F12AA2" w:rsidP="00F12AA2">
      <w:pPr>
        <w:bidi/>
        <w:jc w:val="both"/>
        <w:rPr>
          <w:rFonts w:asciiTheme="majorBidi" w:eastAsia="Calibri" w:hAnsiTheme="majorBidi" w:cstheme="majorBidi"/>
          <w:sz w:val="28"/>
          <w:szCs w:val="28"/>
          <w:rtl/>
        </w:rPr>
      </w:pPr>
      <w:r>
        <w:rPr>
          <w:rFonts w:asciiTheme="majorBidi" w:eastAsia="Calibri" w:hAnsiTheme="majorBidi" w:cstheme="majorBidi" w:hint="cs"/>
          <w:sz w:val="28"/>
          <w:szCs w:val="28"/>
          <w:rtl/>
        </w:rPr>
        <w:t xml:space="preserve">וכותב </w:t>
      </w:r>
      <w:r w:rsidRPr="00F12AA2">
        <w:rPr>
          <w:rFonts w:asciiTheme="majorBidi" w:eastAsia="Calibri" w:hAnsiTheme="majorBidi" w:cstheme="majorBidi" w:hint="cs"/>
          <w:b/>
          <w:bCs/>
          <w:sz w:val="28"/>
          <w:szCs w:val="28"/>
          <w:rtl/>
        </w:rPr>
        <w:t>האבן עזרא</w:t>
      </w:r>
      <w:r>
        <w:rPr>
          <w:rFonts w:asciiTheme="majorBidi" w:eastAsia="Calibri" w:hAnsiTheme="majorBidi" w:cstheme="majorBidi" w:hint="cs"/>
          <w:sz w:val="28"/>
          <w:szCs w:val="28"/>
          <w:rtl/>
        </w:rPr>
        <w:t xml:space="preserve"> </w:t>
      </w:r>
      <w:r w:rsidRPr="00F12AA2">
        <w:rPr>
          <w:rFonts w:asciiTheme="majorBidi" w:eastAsia="Calibri" w:hAnsiTheme="majorBidi" w:cstheme="majorBidi" w:hint="cs"/>
          <w:sz w:val="28"/>
          <w:szCs w:val="28"/>
          <w:rtl/>
        </w:rPr>
        <w:t>''</w:t>
      </w:r>
      <w:r w:rsidRPr="00F12AA2">
        <w:rPr>
          <w:rFonts w:asciiTheme="majorBidi" w:eastAsia="Calibri" w:hAnsiTheme="majorBidi" w:cstheme="majorBidi"/>
          <w:sz w:val="28"/>
          <w:szCs w:val="28"/>
          <w:rtl/>
        </w:rPr>
        <w:t>יפלא. יפריש או יעשה דבר פלא כי רוב העולם הולכים אחר תאותם</w:t>
      </w:r>
      <w:r>
        <w:rPr>
          <w:rFonts w:asciiTheme="majorBidi" w:eastAsia="Calibri" w:hAnsiTheme="majorBidi" w:cstheme="majorBidi" w:hint="cs"/>
          <w:sz w:val="28"/>
          <w:szCs w:val="28"/>
          <w:rtl/>
        </w:rPr>
        <w:t>''.</w:t>
      </w:r>
    </w:p>
    <w:p w14:paraId="3AE97B8D" w14:textId="77777777" w:rsidR="00F12AA2" w:rsidRDefault="00F12AA2" w:rsidP="00F12AA2">
      <w:pPr>
        <w:bidi/>
        <w:jc w:val="both"/>
        <w:rPr>
          <w:rFonts w:asciiTheme="majorBidi" w:eastAsia="Calibri" w:hAnsiTheme="majorBidi" w:cstheme="majorBidi"/>
          <w:sz w:val="28"/>
          <w:szCs w:val="28"/>
        </w:rPr>
      </w:pPr>
    </w:p>
    <w:p w14:paraId="79701809" w14:textId="0FC76C87" w:rsidR="000D1EB0" w:rsidRPr="000D1EB0" w:rsidRDefault="000D1EB0" w:rsidP="000D1EB0">
      <w:pPr>
        <w:bidi/>
        <w:jc w:val="both"/>
        <w:rPr>
          <w:rFonts w:asciiTheme="majorBidi" w:eastAsia="Calibri" w:hAnsiTheme="majorBidi" w:cstheme="majorBidi"/>
          <w:sz w:val="36"/>
          <w:szCs w:val="36"/>
          <w:u w:val="single"/>
          <w:rtl/>
        </w:rPr>
      </w:pPr>
      <w:r w:rsidRPr="000D1EB0">
        <w:rPr>
          <w:rFonts w:asciiTheme="majorBidi" w:eastAsia="Calibri" w:hAnsiTheme="majorBidi" w:cstheme="majorBidi" w:hint="cs"/>
          <w:sz w:val="36"/>
          <w:szCs w:val="36"/>
          <w:u w:val="single"/>
          <w:rtl/>
        </w:rPr>
        <w:t>כל מי שהוא חפשי מן התאות נקרא מלך</w:t>
      </w:r>
    </w:p>
    <w:p w14:paraId="69062B42" w14:textId="0D96BAAF" w:rsidR="00F12AA2" w:rsidRDefault="000D1EB0" w:rsidP="00F12AA2">
      <w:pPr>
        <w:bidi/>
        <w:jc w:val="both"/>
        <w:rPr>
          <w:rFonts w:asciiTheme="majorBidi" w:eastAsia="Calibri" w:hAnsiTheme="majorBidi" w:cstheme="majorBidi"/>
          <w:sz w:val="28"/>
          <w:szCs w:val="28"/>
          <w:rtl/>
        </w:rPr>
      </w:pPr>
      <w:r>
        <w:rPr>
          <w:rFonts w:asciiTheme="majorBidi" w:eastAsia="Calibri" w:hAnsiTheme="majorBidi" w:cstheme="majorBidi" w:hint="cs"/>
          <w:sz w:val="28"/>
          <w:szCs w:val="28"/>
          <w:rtl/>
        </w:rPr>
        <w:t xml:space="preserve">כתב </w:t>
      </w:r>
      <w:r w:rsidRPr="000D1EB0">
        <w:rPr>
          <w:rFonts w:asciiTheme="majorBidi" w:eastAsia="Calibri" w:hAnsiTheme="majorBidi" w:cstheme="majorBidi" w:hint="cs"/>
          <w:b/>
          <w:bCs/>
          <w:sz w:val="28"/>
          <w:szCs w:val="28"/>
          <w:rtl/>
        </w:rPr>
        <w:t>האבן עזרא</w:t>
      </w:r>
      <w:r>
        <w:rPr>
          <w:rFonts w:asciiTheme="majorBidi" w:eastAsia="Calibri" w:hAnsiTheme="majorBidi" w:cstheme="majorBidi" w:hint="cs"/>
          <w:sz w:val="28"/>
          <w:szCs w:val="28"/>
          <w:rtl/>
        </w:rPr>
        <w:t xml:space="preserve"> </w:t>
      </w:r>
      <w:r w:rsidRPr="000D1EB0">
        <w:rPr>
          <w:rFonts w:asciiTheme="majorBidi" w:eastAsia="Calibri" w:hAnsiTheme="majorBidi" w:cstheme="majorBidi" w:hint="cs"/>
          <w:sz w:val="24"/>
          <w:szCs w:val="24"/>
          <w:rtl/>
        </w:rPr>
        <w:t xml:space="preserve">(פר' נשא ו, ז) </w:t>
      </w:r>
      <w:r>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ויש אומרים כי מלת נזיר מגזרת נזר</w:t>
      </w:r>
      <w:r w:rsidR="00F12AA2">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 xml:space="preserve"> והעד</w:t>
      </w:r>
      <w:r w:rsidR="00F12AA2">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 xml:space="preserve"> </w:t>
      </w:r>
      <w:r w:rsidR="00F12AA2">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כי נזר אלהיו על ראשו</w:t>
      </w:r>
      <w:r w:rsidR="00F12AA2">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 xml:space="preserve"> ואיננו רחוק ודע כי כל בני אדם עבדי תאות העולם</w:t>
      </w:r>
      <w:r>
        <w:rPr>
          <w:rFonts w:asciiTheme="majorBidi" w:eastAsia="Calibri" w:hAnsiTheme="majorBidi" w:cstheme="majorBidi" w:hint="cs"/>
          <w:sz w:val="28"/>
          <w:szCs w:val="28"/>
          <w:rtl/>
        </w:rPr>
        <w:t>,</w:t>
      </w:r>
      <w:r w:rsidR="00F12AA2" w:rsidRPr="00F12AA2">
        <w:rPr>
          <w:rFonts w:asciiTheme="majorBidi" w:eastAsia="Calibri" w:hAnsiTheme="majorBidi" w:cstheme="majorBidi"/>
          <w:sz w:val="28"/>
          <w:szCs w:val="28"/>
          <w:rtl/>
        </w:rPr>
        <w:t xml:space="preserve"> והמלך באמת שיש לו נזר ועטרת מלכות בראשו כל מי שהוא חפשי מן התאות</w:t>
      </w:r>
      <w:r>
        <w:rPr>
          <w:rFonts w:asciiTheme="majorBidi" w:eastAsia="Calibri" w:hAnsiTheme="majorBidi" w:cstheme="majorBidi" w:hint="cs"/>
          <w:sz w:val="28"/>
          <w:szCs w:val="28"/>
          <w:rtl/>
        </w:rPr>
        <w:t>''.</w:t>
      </w:r>
    </w:p>
    <w:p w14:paraId="012E13C0" w14:textId="77777777" w:rsidR="005A7E02" w:rsidRDefault="005A7E02" w:rsidP="005A7E02">
      <w:pPr>
        <w:bidi/>
        <w:jc w:val="both"/>
        <w:rPr>
          <w:rFonts w:asciiTheme="majorBidi" w:eastAsia="Calibri" w:hAnsiTheme="majorBidi" w:cstheme="majorBidi"/>
          <w:sz w:val="28"/>
          <w:szCs w:val="28"/>
          <w:rtl/>
        </w:rPr>
      </w:pPr>
    </w:p>
    <w:p w14:paraId="3F19C533" w14:textId="55D4A082" w:rsidR="005A7E02" w:rsidRPr="0010648A" w:rsidRDefault="005A7E02" w:rsidP="005A7E02">
      <w:pPr>
        <w:bidi/>
        <w:jc w:val="both"/>
        <w:rPr>
          <w:rFonts w:asciiTheme="majorBidi" w:eastAsia="Calibri" w:hAnsiTheme="majorBidi" w:cstheme="majorBidi"/>
          <w:sz w:val="36"/>
          <w:szCs w:val="36"/>
          <w:u w:val="single"/>
          <w:rtl/>
          <w:lang w:val="en-US"/>
        </w:rPr>
      </w:pPr>
      <w:r w:rsidRPr="0010648A">
        <w:rPr>
          <w:rFonts w:asciiTheme="majorBidi" w:eastAsia="Calibri" w:hAnsiTheme="majorBidi" w:cstheme="majorBidi" w:hint="cs"/>
          <w:sz w:val="36"/>
          <w:szCs w:val="36"/>
          <w:u w:val="single"/>
          <w:rtl/>
        </w:rPr>
        <w:t>עצה לתאוות:</w:t>
      </w:r>
      <w:r w:rsidRPr="0010648A">
        <w:rPr>
          <w:rFonts w:asciiTheme="majorBidi" w:eastAsia="Calibri" w:hAnsiTheme="majorBidi" w:cstheme="majorBidi"/>
          <w:sz w:val="36"/>
          <w:szCs w:val="36"/>
          <w:u w:val="single"/>
          <w:lang w:val="en-US"/>
        </w:rPr>
        <w:t xml:space="preserve"> </w:t>
      </w:r>
      <w:r w:rsidRPr="0010648A">
        <w:rPr>
          <w:rFonts w:asciiTheme="majorBidi" w:eastAsia="Calibri" w:hAnsiTheme="majorBidi" w:cstheme="majorBidi" w:hint="cs"/>
          <w:sz w:val="36"/>
          <w:szCs w:val="36"/>
          <w:u w:val="single"/>
          <w:rtl/>
          <w:lang w:val="en-US"/>
        </w:rPr>
        <w:t>המתינות</w:t>
      </w:r>
    </w:p>
    <w:p w14:paraId="03693D3A" w14:textId="6C7EE383" w:rsidR="005A7E02" w:rsidRPr="005A7E02" w:rsidRDefault="005A7E02" w:rsidP="005A7E02">
      <w:pPr>
        <w:bidi/>
        <w:jc w:val="both"/>
        <w:rPr>
          <w:rFonts w:asciiTheme="majorBidi" w:eastAsia="Calibri" w:hAnsiTheme="majorBidi" w:cstheme="majorBidi" w:hint="cs"/>
          <w:sz w:val="28"/>
          <w:szCs w:val="28"/>
          <w:rtl/>
          <w:lang w:val="en-US"/>
        </w:rPr>
      </w:pPr>
      <w:bookmarkStart w:id="4" w:name="_Hlk210124002"/>
      <w:r>
        <w:rPr>
          <w:rFonts w:asciiTheme="majorBidi" w:eastAsia="Calibri" w:hAnsiTheme="majorBidi" w:cstheme="majorBidi" w:hint="cs"/>
          <w:sz w:val="28"/>
          <w:szCs w:val="28"/>
          <w:rtl/>
          <w:lang w:val="en-US"/>
        </w:rPr>
        <w:lastRenderedPageBreak/>
        <w:t xml:space="preserve">כתב </w:t>
      </w:r>
      <w:r w:rsidRPr="0010648A">
        <w:rPr>
          <w:rFonts w:asciiTheme="majorBidi" w:eastAsia="Calibri" w:hAnsiTheme="majorBidi" w:cstheme="majorBidi" w:hint="cs"/>
          <w:b/>
          <w:bCs/>
          <w:sz w:val="28"/>
          <w:szCs w:val="28"/>
          <w:rtl/>
          <w:lang w:val="en-US"/>
        </w:rPr>
        <w:t>ר' צדיק הכהן מלובלין</w:t>
      </w:r>
      <w:r>
        <w:rPr>
          <w:rFonts w:asciiTheme="majorBidi" w:eastAsia="Calibri" w:hAnsiTheme="majorBidi" w:cstheme="majorBidi" w:hint="cs"/>
          <w:sz w:val="28"/>
          <w:szCs w:val="28"/>
          <w:rtl/>
          <w:lang w:val="en-US"/>
        </w:rPr>
        <w:t xml:space="preserve"> </w:t>
      </w:r>
      <w:r w:rsidRPr="0010648A">
        <w:rPr>
          <w:rFonts w:asciiTheme="majorBidi" w:eastAsia="Calibri" w:hAnsiTheme="majorBidi" w:cstheme="majorBidi" w:hint="cs"/>
          <w:sz w:val="24"/>
          <w:szCs w:val="24"/>
          <w:rtl/>
          <w:lang w:val="en-US"/>
        </w:rPr>
        <w:t>(קונטרס עת האוכל אות ה</w:t>
      </w:r>
      <w:r w:rsidRPr="0010648A">
        <w:rPr>
          <w:rStyle w:val="Appelnotedebasdep"/>
          <w:rFonts w:asciiTheme="majorBidi" w:eastAsia="Calibri" w:hAnsiTheme="majorBidi" w:cstheme="majorBidi"/>
          <w:sz w:val="24"/>
          <w:szCs w:val="24"/>
          <w:rtl/>
          <w:lang w:val="en-US"/>
        </w:rPr>
        <w:footnoteReference w:id="1"/>
      </w:r>
      <w:r w:rsidRPr="0010648A">
        <w:rPr>
          <w:rFonts w:asciiTheme="majorBidi" w:eastAsia="Calibri" w:hAnsiTheme="majorBidi" w:cstheme="majorBidi" w:hint="cs"/>
          <w:sz w:val="24"/>
          <w:szCs w:val="24"/>
          <w:rtl/>
          <w:lang w:val="en-US"/>
        </w:rPr>
        <w:t xml:space="preserve">) </w:t>
      </w:r>
      <w:r>
        <w:rPr>
          <w:rFonts w:asciiTheme="majorBidi" w:eastAsia="Calibri" w:hAnsiTheme="majorBidi" w:cstheme="majorBidi" w:hint="cs"/>
          <w:sz w:val="28"/>
          <w:szCs w:val="28"/>
          <w:rtl/>
          <w:lang w:val="en-US"/>
        </w:rPr>
        <w:t>''עצה [לתאות האכילה</w:t>
      </w:r>
      <w:r>
        <w:rPr>
          <w:rStyle w:val="Appelnotedebasdep"/>
          <w:rFonts w:asciiTheme="majorBidi" w:eastAsia="Calibri" w:hAnsiTheme="majorBidi" w:cstheme="majorBidi"/>
          <w:sz w:val="28"/>
          <w:szCs w:val="28"/>
          <w:rtl/>
          <w:lang w:val="en-US"/>
        </w:rPr>
        <w:footnoteReference w:id="2"/>
      </w:r>
      <w:r>
        <w:rPr>
          <w:rFonts w:asciiTheme="majorBidi" w:eastAsia="Calibri" w:hAnsiTheme="majorBidi" w:cstheme="majorBidi" w:hint="cs"/>
          <w:sz w:val="28"/>
          <w:szCs w:val="28"/>
          <w:rtl/>
          <w:lang w:val="en-US"/>
        </w:rPr>
        <w:t>] המתינות, כי יסוד תוקף התאוה המהירות שרוצה לבלוע ולהשלים תאותו חיש</w:t>
      </w:r>
      <w:r>
        <w:rPr>
          <w:rStyle w:val="Appelnotedebasdep"/>
          <w:rFonts w:asciiTheme="majorBidi" w:eastAsia="Calibri" w:hAnsiTheme="majorBidi" w:cstheme="majorBidi"/>
          <w:sz w:val="28"/>
          <w:szCs w:val="28"/>
          <w:rtl/>
          <w:lang w:val="en-US"/>
        </w:rPr>
        <w:footnoteReference w:id="3"/>
      </w:r>
      <w:r>
        <w:rPr>
          <w:rFonts w:asciiTheme="majorBidi" w:eastAsia="Calibri" w:hAnsiTheme="majorBidi" w:cstheme="majorBidi" w:hint="cs"/>
          <w:sz w:val="28"/>
          <w:szCs w:val="28"/>
          <w:rtl/>
          <w:lang w:val="en-US"/>
        </w:rPr>
        <w:t xml:space="preserve">, ולשון חכמים בריש ברכות בכל אכילות דשם 'נכנס' ו'נכנסין' לומר שצריך כניסה והכנה לאכילה ... וגם באכילת תרומה ושל שבת שהם אכילת מצוה נאמר ג''כ 'נכנסין' שצריכין הכנה, ולא אכילת עראי כאכילת זולל וסובא שחוטף ואוכל''. </w:t>
      </w:r>
    </w:p>
    <w:bookmarkEnd w:id="4"/>
    <w:p w14:paraId="1830EDEE" w14:textId="77777777" w:rsidR="00C77410" w:rsidRPr="00F12AA2" w:rsidRDefault="00C77410" w:rsidP="00C77410">
      <w:pPr>
        <w:bidi/>
        <w:jc w:val="both"/>
        <w:rPr>
          <w:rFonts w:asciiTheme="majorBidi" w:hAnsiTheme="majorBidi" w:cstheme="majorBidi"/>
          <w:sz w:val="28"/>
          <w:szCs w:val="28"/>
          <w:rtl/>
        </w:rPr>
      </w:pPr>
    </w:p>
    <w:sectPr w:rsidR="00C77410" w:rsidRPr="00F12AA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E9B9" w14:textId="77777777" w:rsidR="00EB1C9F" w:rsidRDefault="00EB1C9F" w:rsidP="005A7E02">
      <w:pPr>
        <w:spacing w:after="0" w:line="240" w:lineRule="auto"/>
      </w:pPr>
      <w:r>
        <w:separator/>
      </w:r>
    </w:p>
  </w:endnote>
  <w:endnote w:type="continuationSeparator" w:id="0">
    <w:p w14:paraId="5796CFD3" w14:textId="77777777" w:rsidR="00EB1C9F" w:rsidRDefault="00EB1C9F" w:rsidP="005A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B2864" w14:textId="77777777" w:rsidR="00EB1C9F" w:rsidRDefault="00EB1C9F" w:rsidP="005A7E02">
      <w:pPr>
        <w:spacing w:after="0" w:line="240" w:lineRule="auto"/>
      </w:pPr>
      <w:r>
        <w:separator/>
      </w:r>
    </w:p>
  </w:footnote>
  <w:footnote w:type="continuationSeparator" w:id="0">
    <w:p w14:paraId="20C625DE" w14:textId="77777777" w:rsidR="00EB1C9F" w:rsidRDefault="00EB1C9F" w:rsidP="005A7E02">
      <w:pPr>
        <w:spacing w:after="0" w:line="240" w:lineRule="auto"/>
      </w:pPr>
      <w:r>
        <w:continuationSeparator/>
      </w:r>
    </w:p>
  </w:footnote>
  <w:footnote w:id="1">
    <w:p w14:paraId="5A8E6F88" w14:textId="38915972" w:rsidR="005A7E02" w:rsidRPr="005A7E02" w:rsidRDefault="005A7E02" w:rsidP="005A7E02">
      <w:pPr>
        <w:pStyle w:val="Notedebasdepage"/>
        <w:bidi/>
        <w:jc w:val="both"/>
        <w:rPr>
          <w:rFonts w:ascii="Times New Roman" w:hAnsi="Times New Roman" w:cs="Times New Roman"/>
          <w:rtl/>
        </w:rPr>
      </w:pPr>
      <w:r w:rsidRPr="005A7E02">
        <w:rPr>
          <w:rStyle w:val="Appelnotedebasdep"/>
          <w:rFonts w:ascii="Times New Roman" w:hAnsi="Times New Roman" w:cs="Times New Roman"/>
        </w:rPr>
        <w:footnoteRef/>
      </w:r>
      <w:r w:rsidRPr="005A7E02">
        <w:rPr>
          <w:rFonts w:ascii="Times New Roman" w:hAnsi="Times New Roman" w:cs="Times New Roman"/>
        </w:rPr>
        <w:t xml:space="preserve"> </w:t>
      </w:r>
      <w:r w:rsidRPr="005A7E02">
        <w:rPr>
          <w:rFonts w:ascii="Times New Roman" w:hAnsi="Times New Roman" w:cs="Times New Roman"/>
          <w:rtl/>
        </w:rPr>
        <w:t xml:space="preserve"> ומובא בהערה 8 בספרו צדקת הצדיק (אות טו) .</w:t>
      </w:r>
    </w:p>
  </w:footnote>
  <w:footnote w:id="2">
    <w:p w14:paraId="5AF554A2" w14:textId="5F2A1545" w:rsidR="005A7E02" w:rsidRPr="0010648A" w:rsidRDefault="005A7E02" w:rsidP="005A7E02">
      <w:pPr>
        <w:pStyle w:val="Notedebasdepage"/>
        <w:bidi/>
        <w:jc w:val="both"/>
        <w:rPr>
          <w:rFonts w:ascii="Times New Roman" w:hAnsi="Times New Roman" w:cs="Times New Roman"/>
          <w:sz w:val="16"/>
          <w:szCs w:val="16"/>
          <w:rtl/>
        </w:rPr>
      </w:pPr>
      <w:r w:rsidRPr="0010648A">
        <w:rPr>
          <w:rStyle w:val="Appelnotedebasdep"/>
          <w:rFonts w:ascii="Times New Roman" w:hAnsi="Times New Roman" w:cs="Times New Roman"/>
          <w:sz w:val="16"/>
          <w:szCs w:val="16"/>
        </w:rPr>
        <w:footnoteRef/>
      </w:r>
      <w:r w:rsidRPr="0010648A">
        <w:rPr>
          <w:rFonts w:ascii="Times New Roman" w:hAnsi="Times New Roman" w:cs="Times New Roman"/>
          <w:sz w:val="16"/>
          <w:szCs w:val="16"/>
        </w:rPr>
        <w:t xml:space="preserve"> </w:t>
      </w:r>
      <w:r w:rsidRPr="0010648A">
        <w:rPr>
          <w:rFonts w:ascii="Times New Roman" w:hAnsi="Times New Roman" w:cs="Times New Roman"/>
          <w:sz w:val="16"/>
          <w:szCs w:val="16"/>
          <w:rtl/>
        </w:rPr>
        <w:t xml:space="preserve"> </w:t>
      </w:r>
      <w:r w:rsidRPr="0010648A">
        <w:rPr>
          <w:rFonts w:ascii="Times New Roman" w:hAnsi="Times New Roman" w:cs="Times New Roman"/>
          <w:sz w:val="16"/>
          <w:szCs w:val="16"/>
          <w:rtl/>
        </w:rPr>
        <w:t>ונראה לי שה''ה לכל תאוות.</w:t>
      </w:r>
    </w:p>
  </w:footnote>
  <w:footnote w:id="3">
    <w:p w14:paraId="5AEB048F" w14:textId="5FFADBF8" w:rsidR="005A7E02" w:rsidRPr="0010648A" w:rsidRDefault="005A7E02" w:rsidP="005A7E02">
      <w:pPr>
        <w:pStyle w:val="Notedebasdepage"/>
        <w:bidi/>
        <w:jc w:val="both"/>
        <w:rPr>
          <w:rFonts w:ascii="Times New Roman" w:hAnsi="Times New Roman" w:cs="Times New Roman"/>
          <w:sz w:val="16"/>
          <w:szCs w:val="16"/>
          <w:rtl/>
        </w:rPr>
      </w:pPr>
      <w:r w:rsidRPr="0010648A">
        <w:rPr>
          <w:rStyle w:val="Appelnotedebasdep"/>
          <w:rFonts w:ascii="Times New Roman" w:hAnsi="Times New Roman" w:cs="Times New Roman"/>
          <w:sz w:val="16"/>
          <w:szCs w:val="16"/>
        </w:rPr>
        <w:footnoteRef/>
      </w:r>
      <w:r w:rsidRPr="0010648A">
        <w:rPr>
          <w:rFonts w:ascii="Times New Roman" w:hAnsi="Times New Roman" w:cs="Times New Roman"/>
          <w:sz w:val="16"/>
          <w:szCs w:val="16"/>
        </w:rPr>
        <w:t xml:space="preserve"> </w:t>
      </w:r>
      <w:r w:rsidRPr="0010648A">
        <w:rPr>
          <w:rFonts w:ascii="Times New Roman" w:hAnsi="Times New Roman" w:cs="Times New Roman"/>
          <w:sz w:val="16"/>
          <w:szCs w:val="16"/>
          <w:rtl/>
        </w:rPr>
        <w:t xml:space="preserve"> </w:t>
      </w:r>
      <w:r w:rsidRPr="0010648A">
        <w:rPr>
          <w:rFonts w:ascii="Times New Roman" w:hAnsi="Times New Roman" w:cs="Times New Roman"/>
          <w:sz w:val="16"/>
          <w:szCs w:val="16"/>
          <w:rtl/>
        </w:rPr>
        <w:t xml:space="preserve">עי' </w:t>
      </w:r>
      <w:r w:rsidRPr="0010648A">
        <w:rPr>
          <w:rFonts w:ascii="Times New Roman" w:hAnsi="Times New Roman" w:cs="Times New Roman"/>
          <w:b/>
          <w:bCs/>
          <w:sz w:val="16"/>
          <w:szCs w:val="16"/>
          <w:rtl/>
        </w:rPr>
        <w:t>פסחים</w:t>
      </w:r>
      <w:r w:rsidRPr="0010648A">
        <w:rPr>
          <w:rFonts w:ascii="Times New Roman" w:hAnsi="Times New Roman" w:cs="Times New Roman"/>
          <w:sz w:val="16"/>
          <w:szCs w:val="16"/>
          <w:rtl/>
        </w:rPr>
        <w:t xml:space="preserve"> </w:t>
      </w:r>
      <w:r w:rsidRPr="0010648A">
        <w:rPr>
          <w:rFonts w:ascii="Times New Roman" w:hAnsi="Times New Roman" w:cs="Times New Roman"/>
          <w:sz w:val="14"/>
          <w:szCs w:val="14"/>
          <w:rtl/>
        </w:rPr>
        <w:t xml:space="preserve">(דף מט:) </w:t>
      </w:r>
      <w:r w:rsidRPr="0010648A">
        <w:rPr>
          <w:rFonts w:ascii="Times New Roman" w:hAnsi="Times New Roman" w:cs="Times New Roman"/>
          <w:sz w:val="16"/>
          <w:szCs w:val="16"/>
          <w:rtl/>
        </w:rPr>
        <w:t>''</w:t>
      </w:r>
      <w:r w:rsidRPr="0010648A">
        <w:rPr>
          <w:rFonts w:ascii="Times New Roman" w:hAnsi="Times New Roman" w:cs="Times New Roman"/>
          <w:sz w:val="16"/>
          <w:szCs w:val="16"/>
          <w:rtl/>
        </w:rPr>
        <w:t xml:space="preserve">תניא היה </w:t>
      </w:r>
      <w:r w:rsidRPr="0010648A">
        <w:rPr>
          <w:rFonts w:ascii="Times New Roman" w:hAnsi="Times New Roman" w:cs="Times New Roman"/>
          <w:b/>
          <w:bCs/>
          <w:sz w:val="16"/>
          <w:szCs w:val="16"/>
          <w:rtl/>
        </w:rPr>
        <w:t>רבי מאיר</w:t>
      </w:r>
      <w:r w:rsidRPr="0010648A">
        <w:rPr>
          <w:rFonts w:ascii="Times New Roman" w:hAnsi="Times New Roman" w:cs="Times New Roman"/>
          <w:sz w:val="16"/>
          <w:szCs w:val="16"/>
          <w:rtl/>
        </w:rPr>
        <w:t xml:space="preserve"> אומר כל המשיא בתו לעם הארץ כאילו כופתה ומניחה לפני ארי מה ארי דורס ואוכל ואין לו בושת פנים אף עם הארץ מכה ובועל ואין לו בושת פנים</w:t>
      </w:r>
      <w:r w:rsidRPr="0010648A">
        <w:rPr>
          <w:rFonts w:ascii="Times New Roman" w:hAnsi="Times New Roman" w:cs="Times New Roman"/>
          <w:sz w:val="16"/>
          <w:szCs w:val="16"/>
          <w:rtl/>
        </w:rPr>
        <w:t>''</w:t>
      </w:r>
      <w:r w:rsidR="0010648A" w:rsidRPr="0010648A">
        <w:rPr>
          <w:rFonts w:ascii="Times New Roman" w:hAnsi="Times New Roman" w:cs="Times New Roman"/>
          <w:sz w:val="16"/>
          <w:szCs w:val="16"/>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10"/>
    <w:rsid w:val="000D1EB0"/>
    <w:rsid w:val="0010648A"/>
    <w:rsid w:val="001D2779"/>
    <w:rsid w:val="00203547"/>
    <w:rsid w:val="002D213F"/>
    <w:rsid w:val="005A7E02"/>
    <w:rsid w:val="005E406F"/>
    <w:rsid w:val="008C4E32"/>
    <w:rsid w:val="00C22776"/>
    <w:rsid w:val="00C77410"/>
    <w:rsid w:val="00D66BE7"/>
    <w:rsid w:val="00E33BD6"/>
    <w:rsid w:val="00EB1C9F"/>
    <w:rsid w:val="00F12AA2"/>
    <w:rsid w:val="00F14EC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4E21"/>
  <w15:chartTrackingRefBased/>
  <w15:docId w15:val="{2CB2CF8F-AC43-43BB-B6E6-48F06E46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A7E0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A7E02"/>
    <w:rPr>
      <w:noProof/>
      <w:sz w:val="20"/>
      <w:szCs w:val="20"/>
    </w:rPr>
  </w:style>
  <w:style w:type="character" w:styleId="Appelnotedebasdep">
    <w:name w:val="footnote reference"/>
    <w:basedOn w:val="Policepardfaut"/>
    <w:uiPriority w:val="99"/>
    <w:semiHidden/>
    <w:unhideWhenUsed/>
    <w:rsid w:val="005A7E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06388-07D9-4EB9-9525-5E0F8FEE7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508</Words>
  <Characters>2794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10</cp:revision>
  <dcterms:created xsi:type="dcterms:W3CDTF">2023-05-11T07:37:00Z</dcterms:created>
  <dcterms:modified xsi:type="dcterms:W3CDTF">2025-09-30T08:31:00Z</dcterms:modified>
</cp:coreProperties>
</file>