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FE15A" w14:textId="52E09C2E" w:rsidR="00DE7459" w:rsidRPr="002E7826" w:rsidRDefault="00DE7459" w:rsidP="002E7826">
      <w:pPr>
        <w:bidi/>
        <w:ind w:left="2832"/>
        <w:jc w:val="both"/>
        <w:rPr>
          <w:rFonts w:ascii="David" w:hAnsi="David" w:cs="David"/>
          <w:sz w:val="52"/>
          <w:szCs w:val="52"/>
          <w:u w:val="single"/>
          <w:rtl/>
        </w:rPr>
      </w:pPr>
      <w:r w:rsidRPr="002E7826">
        <w:rPr>
          <w:rFonts w:ascii="David" w:hAnsi="David" w:cs="David" w:hint="cs"/>
          <w:sz w:val="52"/>
          <w:szCs w:val="52"/>
          <w:u w:val="single"/>
          <w:rtl/>
        </w:rPr>
        <w:t xml:space="preserve">תוהא על הראשונות </w:t>
      </w:r>
    </w:p>
    <w:p w14:paraId="0DD463F6" w14:textId="280B8047" w:rsidR="00DE7459" w:rsidRDefault="00DE7459" w:rsidP="00DE7459">
      <w:pPr>
        <w:bidi/>
        <w:jc w:val="both"/>
        <w:rPr>
          <w:rFonts w:ascii="David" w:hAnsi="David" w:cs="David"/>
          <w:sz w:val="28"/>
          <w:szCs w:val="28"/>
          <w:rtl/>
        </w:rPr>
      </w:pPr>
    </w:p>
    <w:p w14:paraId="5C44E833" w14:textId="5A8CE682" w:rsidR="00DE7459" w:rsidRDefault="00DE7459" w:rsidP="00DE7459">
      <w:pPr>
        <w:bidi/>
        <w:jc w:val="both"/>
        <w:rPr>
          <w:rFonts w:ascii="David" w:hAnsi="David" w:cs="David"/>
          <w:sz w:val="28"/>
          <w:szCs w:val="28"/>
          <w:rtl/>
        </w:rPr>
      </w:pPr>
    </w:p>
    <w:p w14:paraId="6A73FE56" w14:textId="7EF125C5" w:rsidR="00DE7459" w:rsidRDefault="00DE7459" w:rsidP="00DE7459">
      <w:pPr>
        <w:bidi/>
        <w:jc w:val="both"/>
        <w:rPr>
          <w:rFonts w:ascii="David" w:hAnsi="David" w:cs="David"/>
          <w:sz w:val="28"/>
          <w:szCs w:val="28"/>
          <w:rtl/>
        </w:rPr>
      </w:pPr>
    </w:p>
    <w:p w14:paraId="0442F26D" w14:textId="6130D1F8" w:rsidR="00DE7459" w:rsidRDefault="00DE7459" w:rsidP="00DE7459">
      <w:pPr>
        <w:bidi/>
        <w:jc w:val="both"/>
        <w:rPr>
          <w:rFonts w:ascii="David" w:hAnsi="David" w:cs="David"/>
          <w:sz w:val="28"/>
          <w:szCs w:val="28"/>
          <w:rtl/>
        </w:rPr>
      </w:pPr>
      <w:r>
        <w:rPr>
          <w:rFonts w:ascii="David" w:hAnsi="David" w:cs="David" w:hint="cs"/>
          <w:sz w:val="28"/>
          <w:szCs w:val="28"/>
          <w:rtl/>
        </w:rPr>
        <w:t xml:space="preserve">והנה מבואר </w:t>
      </w:r>
      <w:r w:rsidRPr="00E12150">
        <w:rPr>
          <w:rFonts w:ascii="David" w:hAnsi="David" w:cs="David" w:hint="cs"/>
          <w:b/>
          <w:bCs/>
          <w:sz w:val="28"/>
          <w:szCs w:val="28"/>
          <w:rtl/>
        </w:rPr>
        <w:t>בקידושין</w:t>
      </w:r>
      <w:r>
        <w:rPr>
          <w:rFonts w:ascii="David" w:hAnsi="David" w:cs="David" w:hint="cs"/>
          <w:sz w:val="28"/>
          <w:szCs w:val="28"/>
          <w:rtl/>
        </w:rPr>
        <w:t xml:space="preserve"> </w:t>
      </w:r>
      <w:r w:rsidRPr="00E12150">
        <w:rPr>
          <w:rFonts w:ascii="David" w:hAnsi="David" w:cs="David" w:hint="cs"/>
          <w:sz w:val="24"/>
          <w:szCs w:val="24"/>
          <w:rtl/>
        </w:rPr>
        <w:t xml:space="preserve">(דף מ.) </w:t>
      </w:r>
      <w:r w:rsidRPr="00E12150">
        <w:rPr>
          <w:rFonts w:ascii="David" w:hAnsi="David" w:cs="David" w:hint="cs"/>
          <w:sz w:val="28"/>
          <w:szCs w:val="28"/>
          <w:rtl/>
        </w:rPr>
        <w:t>''</w:t>
      </w:r>
      <w:r w:rsidRPr="00E12150">
        <w:rPr>
          <w:rFonts w:ascii="David" w:hAnsi="David" w:cs="David"/>
          <w:b/>
          <w:bCs/>
          <w:sz w:val="28"/>
          <w:szCs w:val="28"/>
          <w:rtl/>
        </w:rPr>
        <w:t>ר''ש בן יוחי</w:t>
      </w:r>
      <w:r w:rsidRPr="00DE7459">
        <w:rPr>
          <w:rFonts w:ascii="David" w:hAnsi="David" w:cs="David"/>
          <w:sz w:val="28"/>
          <w:szCs w:val="28"/>
          <w:rtl/>
        </w:rPr>
        <w:t xml:space="preserve"> אומר אפילו צדיק גמור כל ימיו ומרד באחרונה איבד את הראשונות שנאמר  צדקת הצדיק לא תצילנו ביום פשעו ואפילו רשע גמור כל ימיו ועשה תשובה באחרונה אין מזכירים לו שוב רשעו שנאמר ורשעת הרשע לא יכשל בה ביום שובו מרשעו וניהוי כמחצה עונות ומחצה זכיות אמר ריש לקיש בתוהא על הראשונות</w:t>
      </w:r>
      <w:r>
        <w:rPr>
          <w:rFonts w:ascii="David" w:hAnsi="David" w:cs="David" w:hint="cs"/>
          <w:sz w:val="28"/>
          <w:szCs w:val="28"/>
          <w:rtl/>
        </w:rPr>
        <w:t>''.</w:t>
      </w:r>
    </w:p>
    <w:p w14:paraId="32C1175B" w14:textId="52705DB6" w:rsidR="00DE7459" w:rsidRDefault="00DE7459" w:rsidP="00E12150">
      <w:pPr>
        <w:bidi/>
        <w:jc w:val="both"/>
        <w:rPr>
          <w:rFonts w:ascii="David" w:hAnsi="David" w:cs="David" w:hint="cs"/>
          <w:sz w:val="28"/>
          <w:szCs w:val="28"/>
          <w:rtl/>
        </w:rPr>
      </w:pPr>
      <w:r w:rsidRPr="00E12150">
        <w:rPr>
          <w:rFonts w:ascii="David" w:hAnsi="David" w:cs="David" w:hint="cs"/>
          <w:b/>
          <w:bCs/>
          <w:sz w:val="28"/>
          <w:szCs w:val="28"/>
          <w:rtl/>
        </w:rPr>
        <w:t>והמקנה</w:t>
      </w:r>
      <w:r>
        <w:rPr>
          <w:rFonts w:ascii="David" w:hAnsi="David" w:cs="David" w:hint="cs"/>
          <w:sz w:val="28"/>
          <w:szCs w:val="28"/>
          <w:rtl/>
        </w:rPr>
        <w:t xml:space="preserve"> ביאר שמה שתוהא על הראשונות אבד את כל זכיותיו זה רק כשעשה מעשה בצירוף למחשבה וכמו שמובא </w:t>
      </w:r>
      <w:r w:rsidRPr="00E12150">
        <w:rPr>
          <w:rFonts w:ascii="David" w:hAnsi="David" w:cs="David" w:hint="cs"/>
          <w:b/>
          <w:bCs/>
          <w:sz w:val="28"/>
          <w:szCs w:val="28"/>
          <w:rtl/>
        </w:rPr>
        <w:t>בקידושין</w:t>
      </w:r>
      <w:r>
        <w:rPr>
          <w:rFonts w:ascii="David" w:hAnsi="David" w:cs="David" w:hint="cs"/>
          <w:sz w:val="28"/>
          <w:szCs w:val="28"/>
          <w:rtl/>
        </w:rPr>
        <w:t xml:space="preserve"> </w:t>
      </w:r>
      <w:r w:rsidRPr="00E12150">
        <w:rPr>
          <w:rFonts w:ascii="David" w:hAnsi="David" w:cs="David" w:hint="cs"/>
          <w:sz w:val="24"/>
          <w:szCs w:val="24"/>
          <w:rtl/>
        </w:rPr>
        <w:t xml:space="preserve">(דף מ.) </w:t>
      </w:r>
      <w:r>
        <w:rPr>
          <w:rFonts w:ascii="David" w:hAnsi="David" w:cs="David" w:hint="cs"/>
          <w:sz w:val="28"/>
          <w:szCs w:val="28"/>
          <w:rtl/>
        </w:rPr>
        <w:t>שמחשבה שיש בה פרי הקב''ה מצרפה למעשה ומשחבה גרידא אין הקב''ה מצרפה למעשה</w:t>
      </w:r>
      <w:r w:rsidR="00E12150">
        <w:rPr>
          <w:rFonts w:ascii="David" w:hAnsi="David" w:cs="David" w:hint="cs"/>
          <w:sz w:val="28"/>
          <w:szCs w:val="28"/>
          <w:rtl/>
        </w:rPr>
        <w:t xml:space="preserve"> וז''ל  ''</w:t>
      </w:r>
      <w:r w:rsidRPr="00DE7459">
        <w:rPr>
          <w:rFonts w:ascii="David" w:hAnsi="David" w:cs="David"/>
          <w:sz w:val="28"/>
          <w:szCs w:val="28"/>
          <w:rtl/>
        </w:rPr>
        <w:t xml:space="preserve">משמע דאפי' בתוהא על הראשונות לא אבד זכויותיו אלא א"כ עשה ג"כ עבירה במעשיו כדכתיב ושב צדיק מצדקתו ועשה עול. ובזה אתי שפיר הא דאמר לעיל גבי עובדא </w:t>
      </w:r>
      <w:r w:rsidRPr="00E12150">
        <w:rPr>
          <w:rFonts w:ascii="David" w:hAnsi="David" w:cs="David"/>
          <w:b/>
          <w:bCs/>
          <w:sz w:val="28"/>
          <w:szCs w:val="28"/>
          <w:rtl/>
        </w:rPr>
        <w:t>דר' יעקב</w:t>
      </w:r>
      <w:r w:rsidRPr="00DE7459">
        <w:rPr>
          <w:rFonts w:ascii="David" w:hAnsi="David" w:cs="David"/>
          <w:sz w:val="28"/>
          <w:szCs w:val="28"/>
          <w:rtl/>
        </w:rPr>
        <w:t xml:space="preserve"> ודילמא מהרהר בעבירה הוי ומשני דמחשבה רעה אינו מצרפה למעשה ולא מקשה ודילמא בתוהא על הראשונות הוי, אלא דאף בזה אין הקדוש ברוך הוא מצרף למעשה. ולפ"ז נראה הא דמקשה ודילמא מהרהר בעבירה הוי דא"צ לדחוק כפירש"י ולא הי' לבו לשמים אלא דהקושיא דילמא מהרהר בעבירה הוי בתוהא על הראשונות, ומשני דאף בזה אין הקדוש ברוך הוא מצרפה למעשה, ומקשה ודילמא מהרהר בע"ז הוי דהוי כמעשה ותוהא על הראשונות וק"ל</w:t>
      </w:r>
      <w:r w:rsidR="00E12150">
        <w:rPr>
          <w:rFonts w:ascii="David" w:hAnsi="David" w:cs="David" w:hint="cs"/>
          <w:sz w:val="28"/>
          <w:szCs w:val="28"/>
          <w:rtl/>
        </w:rPr>
        <w:t>''</w:t>
      </w:r>
      <w:r w:rsidR="00125C93">
        <w:rPr>
          <w:rFonts w:ascii="David" w:hAnsi="David" w:cs="David" w:hint="cs"/>
          <w:sz w:val="28"/>
          <w:szCs w:val="28"/>
          <w:rtl/>
        </w:rPr>
        <w:t xml:space="preserve">, וכעין זה כתב </w:t>
      </w:r>
      <w:r w:rsidR="00125C93" w:rsidRPr="005B72FF">
        <w:rPr>
          <w:rFonts w:ascii="David" w:hAnsi="David" w:cs="David" w:hint="cs"/>
          <w:b/>
          <w:bCs/>
          <w:sz w:val="28"/>
          <w:szCs w:val="28"/>
          <w:rtl/>
        </w:rPr>
        <w:t>בעיון יעקב</w:t>
      </w:r>
      <w:r w:rsidR="00125C93">
        <w:rPr>
          <w:rFonts w:ascii="David" w:hAnsi="David" w:cs="David" w:hint="cs"/>
          <w:sz w:val="28"/>
          <w:szCs w:val="28"/>
          <w:rtl/>
        </w:rPr>
        <w:t xml:space="preserve"> </w:t>
      </w:r>
      <w:r w:rsidR="00125C93" w:rsidRPr="005B72FF">
        <w:rPr>
          <w:rFonts w:ascii="David" w:hAnsi="David" w:cs="David" w:hint="cs"/>
          <w:sz w:val="24"/>
          <w:szCs w:val="24"/>
          <w:rtl/>
        </w:rPr>
        <w:t xml:space="preserve">(ד''ה בתוהא) </w:t>
      </w:r>
      <w:r w:rsidR="00125C93">
        <w:rPr>
          <w:rFonts w:ascii="David" w:hAnsi="David" w:cs="David" w:hint="cs"/>
          <w:sz w:val="28"/>
          <w:szCs w:val="28"/>
          <w:rtl/>
        </w:rPr>
        <w:t>עיי''ש</w:t>
      </w:r>
    </w:p>
    <w:p w14:paraId="4D0EC2C7" w14:textId="4DCA8CFA" w:rsidR="00CA5270" w:rsidRPr="00DE7459" w:rsidRDefault="00E12150" w:rsidP="00CA5270">
      <w:pPr>
        <w:bidi/>
        <w:jc w:val="both"/>
        <w:rPr>
          <w:rFonts w:ascii="David" w:hAnsi="David" w:cs="David"/>
          <w:sz w:val="28"/>
          <w:szCs w:val="28"/>
        </w:rPr>
      </w:pPr>
      <w:r w:rsidRPr="00E12150">
        <w:rPr>
          <w:rFonts w:ascii="David" w:hAnsi="David" w:cs="David" w:hint="cs"/>
          <w:b/>
          <w:bCs/>
          <w:sz w:val="28"/>
          <w:szCs w:val="28"/>
          <w:rtl/>
        </w:rPr>
        <w:t>בקובץ מאמרים</w:t>
      </w:r>
      <w:r>
        <w:rPr>
          <w:rFonts w:ascii="David" w:hAnsi="David" w:cs="David" w:hint="cs"/>
          <w:sz w:val="28"/>
          <w:szCs w:val="28"/>
          <w:rtl/>
        </w:rPr>
        <w:t xml:space="preserve"> </w:t>
      </w:r>
      <w:r w:rsidRPr="00E12150">
        <w:rPr>
          <w:rFonts w:ascii="David" w:hAnsi="David" w:cs="David" w:hint="cs"/>
          <w:sz w:val="24"/>
          <w:szCs w:val="24"/>
          <w:rtl/>
        </w:rPr>
        <w:t>(מאמר על תשובה עמ' כא)</w:t>
      </w:r>
      <w:r w:rsidRPr="00E12150">
        <w:rPr>
          <w:rStyle w:val="Appelnotedebasdep"/>
          <w:rFonts w:ascii="David" w:hAnsi="David" w:cs="David"/>
          <w:sz w:val="24"/>
          <w:szCs w:val="24"/>
          <w:rtl/>
        </w:rPr>
        <w:footnoteReference w:id="1"/>
      </w:r>
      <w:r w:rsidRPr="00E12150">
        <w:rPr>
          <w:rFonts w:ascii="David" w:hAnsi="David" w:cs="David" w:hint="cs"/>
          <w:sz w:val="24"/>
          <w:szCs w:val="24"/>
          <w:rtl/>
        </w:rPr>
        <w:t xml:space="preserve"> </w:t>
      </w:r>
      <w:r w:rsidR="00CA5270" w:rsidRPr="00CA5270">
        <w:rPr>
          <w:rFonts w:ascii="David" w:hAnsi="David" w:cs="David"/>
          <w:sz w:val="28"/>
          <w:szCs w:val="28"/>
          <w:rtl/>
        </w:rPr>
        <w:t xml:space="preserve">הקשה מכאן על דברי </w:t>
      </w:r>
      <w:r w:rsidR="00CA5270" w:rsidRPr="00E12150">
        <w:rPr>
          <w:rFonts w:ascii="David" w:hAnsi="David" w:cs="David"/>
          <w:b/>
          <w:bCs/>
          <w:sz w:val="28"/>
          <w:szCs w:val="28"/>
          <w:rtl/>
        </w:rPr>
        <w:t>המסילת ישרים</w:t>
      </w:r>
      <w:r w:rsidR="00CA5270" w:rsidRPr="00CA5270">
        <w:rPr>
          <w:rFonts w:ascii="David" w:hAnsi="David" w:cs="David"/>
          <w:sz w:val="28"/>
          <w:szCs w:val="28"/>
          <w:rtl/>
        </w:rPr>
        <w:t xml:space="preserve"> </w:t>
      </w:r>
      <w:r w:rsidRPr="00E12150">
        <w:rPr>
          <w:rFonts w:ascii="David" w:hAnsi="David" w:cs="David" w:hint="cs"/>
          <w:sz w:val="24"/>
          <w:szCs w:val="24"/>
          <w:rtl/>
        </w:rPr>
        <w:t>(</w:t>
      </w:r>
      <w:r w:rsidR="00CA5270" w:rsidRPr="00E12150">
        <w:rPr>
          <w:rFonts w:ascii="David" w:hAnsi="David" w:cs="David"/>
          <w:sz w:val="24"/>
          <w:szCs w:val="24"/>
          <w:rtl/>
        </w:rPr>
        <w:t>בפרק ב</w:t>
      </w:r>
      <w:r w:rsidRPr="00E12150">
        <w:rPr>
          <w:rFonts w:ascii="David" w:hAnsi="David" w:cs="David" w:hint="cs"/>
          <w:sz w:val="24"/>
          <w:szCs w:val="24"/>
          <w:rtl/>
        </w:rPr>
        <w:t>)</w:t>
      </w:r>
      <w:r>
        <w:rPr>
          <w:rFonts w:ascii="David" w:hAnsi="David" w:cs="David" w:hint="cs"/>
          <w:sz w:val="28"/>
          <w:szCs w:val="28"/>
          <w:rtl/>
        </w:rPr>
        <w:t xml:space="preserve">, </w:t>
      </w:r>
      <w:r w:rsidR="00CA5270" w:rsidRPr="00CA5270">
        <w:rPr>
          <w:rFonts w:ascii="David" w:hAnsi="David" w:cs="David"/>
          <w:sz w:val="28"/>
          <w:szCs w:val="28"/>
          <w:rtl/>
        </w:rPr>
        <w:t xml:space="preserve">הסובר כי זה שחרטת האדם ממעשיו הרעים עוקרת את המעשה כאילו לא נעשה, הוא רק "לפנים משורת הדין", מכח החידוש שבתשובה, היות ומעיקר הדין לא יתכן לעקור למפרע מעשה רע שעשה האדם. ואילו מכאן מוכח, שאפילו מעשה טוב נעקר כאשר מתחרט האדם על מעשיו הטובים, ומוכח שאין העקירה חידוש בתשובה, אלא היא סברא מעיקר הדין. והביא את תירוצו של </w:t>
      </w:r>
      <w:r w:rsidR="00CA5270" w:rsidRPr="009C006B">
        <w:rPr>
          <w:rFonts w:ascii="David" w:hAnsi="David" w:cs="David"/>
          <w:b/>
          <w:bCs/>
          <w:sz w:val="28"/>
          <w:szCs w:val="28"/>
          <w:rtl/>
        </w:rPr>
        <w:t>החפץ חיים</w:t>
      </w:r>
      <w:r w:rsidR="00CA5270" w:rsidRPr="00CA5270">
        <w:rPr>
          <w:rFonts w:ascii="David" w:hAnsi="David" w:cs="David"/>
          <w:sz w:val="28"/>
          <w:szCs w:val="28"/>
          <w:rtl/>
        </w:rPr>
        <w:t>, שבתשובה מאהבה אכן נעקר המעשה מעיקר הדין כמו שנעקר מעשה טוב כשתוהה על קיומו, והחידוש שבתשובה נעקר המעשה לפנים משורת הדין הוא רק במי ששב מיראת העונש בלבד. והוא עצמו</w:t>
      </w:r>
      <w:r>
        <w:rPr>
          <w:rStyle w:val="Appelnotedebasdep"/>
          <w:rFonts w:ascii="David" w:hAnsi="David" w:cs="David"/>
          <w:sz w:val="28"/>
          <w:szCs w:val="28"/>
          <w:rtl/>
        </w:rPr>
        <w:footnoteReference w:id="2"/>
      </w:r>
      <w:r w:rsidR="00CA5270" w:rsidRPr="00CA5270">
        <w:rPr>
          <w:rFonts w:ascii="David" w:hAnsi="David" w:cs="David"/>
          <w:sz w:val="28"/>
          <w:szCs w:val="28"/>
          <w:rtl/>
        </w:rPr>
        <w:t xml:space="preserve"> חילק שצדיק התוהה על הראשונות מפסיד רק את קיום המצוה מחמת רצון ה', אך הזכות על קיום המצוה עצמה נשאר לו. עיין בדבריו.</w:t>
      </w:r>
    </w:p>
    <w:sectPr w:rsidR="00CA5270" w:rsidRPr="00DE74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8BEAD" w14:textId="77777777" w:rsidR="000277E8" w:rsidRDefault="000277E8" w:rsidP="00E12150">
      <w:pPr>
        <w:spacing w:after="0" w:line="240" w:lineRule="auto"/>
      </w:pPr>
      <w:r>
        <w:separator/>
      </w:r>
    </w:p>
  </w:endnote>
  <w:endnote w:type="continuationSeparator" w:id="0">
    <w:p w14:paraId="53188BFC" w14:textId="77777777" w:rsidR="000277E8" w:rsidRDefault="000277E8" w:rsidP="00E1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4863F" w14:textId="77777777" w:rsidR="000277E8" w:rsidRDefault="000277E8" w:rsidP="00E12150">
      <w:pPr>
        <w:spacing w:after="0" w:line="240" w:lineRule="auto"/>
      </w:pPr>
      <w:r>
        <w:separator/>
      </w:r>
    </w:p>
  </w:footnote>
  <w:footnote w:type="continuationSeparator" w:id="0">
    <w:p w14:paraId="58D9E31B" w14:textId="77777777" w:rsidR="000277E8" w:rsidRDefault="000277E8" w:rsidP="00E12150">
      <w:pPr>
        <w:spacing w:after="0" w:line="240" w:lineRule="auto"/>
      </w:pPr>
      <w:r>
        <w:continuationSeparator/>
      </w:r>
    </w:p>
  </w:footnote>
  <w:footnote w:id="1">
    <w:p w14:paraId="14EBEFCC" w14:textId="6B4E37DA" w:rsidR="00E12150" w:rsidRPr="00E12150" w:rsidRDefault="00E12150" w:rsidP="00E12150">
      <w:pPr>
        <w:pStyle w:val="Notedebasdepage"/>
        <w:bidi/>
        <w:jc w:val="both"/>
        <w:rPr>
          <w:rFonts w:ascii="David" w:hAnsi="David" w:cs="David"/>
          <w:rtl/>
        </w:rPr>
      </w:pPr>
      <w:r w:rsidRPr="00E12150">
        <w:rPr>
          <w:rStyle w:val="Appelnotedebasdep"/>
          <w:rFonts w:ascii="David" w:hAnsi="David" w:cs="David"/>
          <w:b/>
          <w:bCs/>
        </w:rPr>
        <w:footnoteRef/>
      </w:r>
      <w:r>
        <w:rPr>
          <w:rFonts w:ascii="David" w:hAnsi="David" w:cs="David" w:hint="cs"/>
          <w:rtl/>
        </w:rPr>
        <w:t xml:space="preserve"> </w:t>
      </w:r>
      <w:r w:rsidRPr="00E12150">
        <w:rPr>
          <w:rFonts w:ascii="David" w:hAnsi="David" w:cs="David" w:hint="cs"/>
          <w:rtl/>
        </w:rPr>
        <w:t>מובא ג''כ</w:t>
      </w:r>
      <w:r>
        <w:rPr>
          <w:rFonts w:ascii="David" w:hAnsi="David" w:cs="David" w:hint="cs"/>
          <w:b/>
          <w:bCs/>
          <w:rtl/>
        </w:rPr>
        <w:t xml:space="preserve"> </w:t>
      </w:r>
      <w:r w:rsidRPr="00E12150">
        <w:rPr>
          <w:rFonts w:ascii="David" w:hAnsi="David" w:cs="David"/>
          <w:b/>
          <w:bCs/>
        </w:rPr>
        <w:t xml:space="preserve"> </w:t>
      </w:r>
      <w:r w:rsidRPr="00E12150">
        <w:rPr>
          <w:rFonts w:ascii="David" w:hAnsi="David" w:cs="David"/>
          <w:b/>
          <w:bCs/>
          <w:rtl/>
        </w:rPr>
        <w:t>בקובץ הערות</w:t>
      </w:r>
      <w:r w:rsidRPr="00E12150">
        <w:rPr>
          <w:rFonts w:ascii="David" w:hAnsi="David" w:cs="David"/>
          <w:rtl/>
        </w:rPr>
        <w:t xml:space="preserve"> </w:t>
      </w:r>
      <w:r w:rsidRPr="00E12150">
        <w:rPr>
          <w:rFonts w:ascii="David" w:hAnsi="David" w:cs="David" w:hint="cs"/>
          <w:sz w:val="18"/>
          <w:szCs w:val="18"/>
          <w:rtl/>
        </w:rPr>
        <w:t>(</w:t>
      </w:r>
      <w:r w:rsidRPr="00E12150">
        <w:rPr>
          <w:rFonts w:ascii="David" w:hAnsi="David" w:cs="David"/>
          <w:sz w:val="18"/>
          <w:szCs w:val="18"/>
          <w:rtl/>
        </w:rPr>
        <w:t>ביאורי אגדות סימן ג</w:t>
      </w:r>
      <w:r w:rsidRPr="00E12150">
        <w:rPr>
          <w:rFonts w:ascii="David" w:hAnsi="David" w:cs="David" w:hint="cs"/>
          <w:sz w:val="18"/>
          <w:szCs w:val="18"/>
          <w:rtl/>
        </w:rPr>
        <w:t>)</w:t>
      </w:r>
      <w:r>
        <w:rPr>
          <w:rFonts w:ascii="David" w:hAnsi="David" w:cs="David" w:hint="cs"/>
          <w:rtl/>
        </w:rPr>
        <w:t>.</w:t>
      </w:r>
    </w:p>
  </w:footnote>
  <w:footnote w:id="2">
    <w:p w14:paraId="6A919220" w14:textId="7381312D" w:rsidR="00E12150" w:rsidRPr="00E12150" w:rsidRDefault="00E12150" w:rsidP="00E12150">
      <w:pPr>
        <w:pStyle w:val="Notedebasdepage"/>
        <w:bidi/>
        <w:jc w:val="both"/>
        <w:rPr>
          <w:rFonts w:ascii="David" w:hAnsi="David" w:cs="David"/>
          <w:rtl/>
        </w:rPr>
      </w:pPr>
      <w:r w:rsidRPr="00E12150">
        <w:rPr>
          <w:rStyle w:val="Appelnotedebasdep"/>
          <w:rFonts w:ascii="David" w:hAnsi="David" w:cs="David"/>
        </w:rPr>
        <w:footnoteRef/>
      </w:r>
      <w:r w:rsidRPr="00E12150">
        <w:rPr>
          <w:rFonts w:ascii="David" w:hAnsi="David" w:cs="David"/>
        </w:rPr>
        <w:t xml:space="preserve"> </w:t>
      </w:r>
      <w:r>
        <w:rPr>
          <w:rFonts w:ascii="David" w:hAnsi="David" w:cs="David" w:hint="cs"/>
          <w:rtl/>
        </w:rPr>
        <w:t xml:space="preserve">על פי היסוד של </w:t>
      </w:r>
      <w:r w:rsidRPr="00E12150">
        <w:rPr>
          <w:rFonts w:ascii="David" w:hAnsi="David" w:cs="David" w:hint="cs"/>
          <w:b/>
          <w:bCs/>
          <w:rtl/>
        </w:rPr>
        <w:t>הדרך ה'</w:t>
      </w:r>
      <w:r>
        <w:rPr>
          <w:rFonts w:ascii="David" w:hAnsi="David" w:cs="David" w:hint="cs"/>
          <w:rtl/>
        </w:rPr>
        <w:t xml:space="preserve"> </w:t>
      </w:r>
      <w:r w:rsidRPr="00E12150">
        <w:rPr>
          <w:rFonts w:ascii="David" w:hAnsi="David" w:cs="David" w:hint="cs"/>
          <w:sz w:val="18"/>
          <w:szCs w:val="18"/>
          <w:rtl/>
        </w:rPr>
        <w:t>(פרק ד')</w:t>
      </w:r>
      <w:r>
        <w:rPr>
          <w:rFonts w:ascii="David" w:hAnsi="David" w:cs="David" w:hint="cs"/>
          <w:sz w:val="18"/>
          <w:szCs w:val="18"/>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59"/>
    <w:rsid w:val="000277E8"/>
    <w:rsid w:val="00125C93"/>
    <w:rsid w:val="001D2779"/>
    <w:rsid w:val="002E7826"/>
    <w:rsid w:val="00467F71"/>
    <w:rsid w:val="005B72FF"/>
    <w:rsid w:val="009C006B"/>
    <w:rsid w:val="00CA5270"/>
    <w:rsid w:val="00DE7459"/>
    <w:rsid w:val="00E1215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EEBB"/>
  <w15:chartTrackingRefBased/>
  <w15:docId w15:val="{3DCEBFB2-C603-47A4-B42C-32D20115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E7459"/>
    <w:rPr>
      <w:color w:val="0563C1" w:themeColor="hyperlink"/>
      <w:u w:val="single"/>
    </w:rPr>
  </w:style>
  <w:style w:type="character" w:styleId="Mentionnonrsolue">
    <w:name w:val="Unresolved Mention"/>
    <w:basedOn w:val="Policepardfaut"/>
    <w:uiPriority w:val="99"/>
    <w:semiHidden/>
    <w:unhideWhenUsed/>
    <w:rsid w:val="00DE7459"/>
    <w:rPr>
      <w:color w:val="605E5C"/>
      <w:shd w:val="clear" w:color="auto" w:fill="E1DFDD"/>
    </w:rPr>
  </w:style>
  <w:style w:type="paragraph" w:styleId="Notedebasdepage">
    <w:name w:val="footnote text"/>
    <w:basedOn w:val="Normal"/>
    <w:link w:val="NotedebasdepageCar"/>
    <w:uiPriority w:val="99"/>
    <w:semiHidden/>
    <w:unhideWhenUsed/>
    <w:rsid w:val="00E1215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12150"/>
    <w:rPr>
      <w:noProof/>
      <w:sz w:val="20"/>
      <w:szCs w:val="20"/>
    </w:rPr>
  </w:style>
  <w:style w:type="character" w:styleId="Appelnotedebasdep">
    <w:name w:val="footnote reference"/>
    <w:basedOn w:val="Policepardfaut"/>
    <w:uiPriority w:val="99"/>
    <w:semiHidden/>
    <w:unhideWhenUsed/>
    <w:rsid w:val="00E121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9279D-3E60-4044-85E6-61459519A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276</Words>
  <Characters>1522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2023-02-16T08:46:00Z</dcterms:created>
  <dcterms:modified xsi:type="dcterms:W3CDTF">2023-02-19T14:37:00Z</dcterms:modified>
</cp:coreProperties>
</file>