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31B89" w14:textId="0B20BB36" w:rsidR="001D2779" w:rsidRPr="000A2653" w:rsidRDefault="0069077F" w:rsidP="0069077F">
      <w:pPr>
        <w:bidi/>
        <w:ind w:left="3540"/>
        <w:jc w:val="both"/>
        <w:rPr>
          <w:rFonts w:ascii="Times New Roman" w:hAnsi="Times New Roman" w:cs="Times New Roman"/>
          <w:sz w:val="56"/>
          <w:szCs w:val="56"/>
          <w:u w:val="single"/>
          <w:rtl/>
        </w:rPr>
      </w:pPr>
      <w:r w:rsidRPr="000A2653">
        <w:rPr>
          <w:rFonts w:ascii="Times New Roman" w:hAnsi="Times New Roman" w:cs="Times New Roman"/>
          <w:sz w:val="56"/>
          <w:szCs w:val="56"/>
          <w:u w:val="single"/>
          <w:rtl/>
        </w:rPr>
        <w:t>תלמיד</w:t>
      </w:r>
    </w:p>
    <w:p w14:paraId="0557A1D1" w14:textId="77777777" w:rsidR="0069077F" w:rsidRPr="000A2653" w:rsidRDefault="0069077F" w:rsidP="0069077F">
      <w:pPr>
        <w:bidi/>
        <w:jc w:val="both"/>
        <w:rPr>
          <w:rFonts w:ascii="Times New Roman" w:hAnsi="Times New Roman" w:cs="Times New Roman"/>
          <w:sz w:val="28"/>
          <w:szCs w:val="28"/>
          <w:rtl/>
        </w:rPr>
      </w:pPr>
    </w:p>
    <w:p w14:paraId="0BF01565" w14:textId="77777777" w:rsidR="0069077F" w:rsidRPr="000A2653" w:rsidRDefault="0069077F" w:rsidP="0069077F">
      <w:pPr>
        <w:bidi/>
        <w:jc w:val="both"/>
        <w:rPr>
          <w:rFonts w:ascii="Times New Roman" w:hAnsi="Times New Roman" w:cs="Times New Roman"/>
          <w:sz w:val="28"/>
          <w:szCs w:val="28"/>
          <w:rtl/>
        </w:rPr>
      </w:pPr>
    </w:p>
    <w:p w14:paraId="05BED861" w14:textId="6D96CADF" w:rsidR="0069077F" w:rsidRPr="000A2653" w:rsidRDefault="00B07BF6" w:rsidP="0069077F">
      <w:pPr>
        <w:bidi/>
        <w:jc w:val="both"/>
        <w:rPr>
          <w:rFonts w:ascii="Times New Roman" w:hAnsi="Times New Roman" w:cs="Times New Roman"/>
          <w:sz w:val="36"/>
          <w:szCs w:val="36"/>
          <w:u w:val="single"/>
          <w:rtl/>
        </w:rPr>
      </w:pPr>
      <w:r w:rsidRPr="000A2653">
        <w:rPr>
          <w:rFonts w:ascii="Times New Roman" w:hAnsi="Times New Roman" w:cs="Times New Roman"/>
          <w:sz w:val="36"/>
          <w:szCs w:val="36"/>
          <w:u w:val="single"/>
          <w:rtl/>
        </w:rPr>
        <w:t>אימת</w:t>
      </w:r>
      <w:r w:rsidR="0069077F" w:rsidRPr="000A2653">
        <w:rPr>
          <w:rFonts w:ascii="Times New Roman" w:hAnsi="Times New Roman" w:cs="Times New Roman"/>
          <w:sz w:val="36"/>
          <w:szCs w:val="36"/>
          <w:u w:val="single"/>
          <w:rtl/>
        </w:rPr>
        <w:t xml:space="preserve"> תלמיד </w:t>
      </w:r>
      <w:r w:rsidRPr="000A2653">
        <w:rPr>
          <w:rFonts w:ascii="Times New Roman" w:hAnsi="Times New Roman" w:cs="Times New Roman"/>
          <w:sz w:val="36"/>
          <w:szCs w:val="36"/>
          <w:u w:val="single"/>
          <w:rtl/>
        </w:rPr>
        <w:t xml:space="preserve">כלפי </w:t>
      </w:r>
      <w:r w:rsidR="0069077F" w:rsidRPr="000A2653">
        <w:rPr>
          <w:rFonts w:ascii="Times New Roman" w:hAnsi="Times New Roman" w:cs="Times New Roman"/>
          <w:sz w:val="36"/>
          <w:szCs w:val="36"/>
          <w:u w:val="single"/>
          <w:rtl/>
        </w:rPr>
        <w:t>רבו</w:t>
      </w:r>
      <w:r w:rsidRPr="000A2653">
        <w:rPr>
          <w:rFonts w:ascii="Times New Roman" w:hAnsi="Times New Roman" w:cs="Times New Roman"/>
          <w:sz w:val="36"/>
          <w:szCs w:val="36"/>
          <w:u w:val="single"/>
          <w:rtl/>
        </w:rPr>
        <w:t xml:space="preserve"> נובע מזה שהוא מקבל מרות ממנו</w:t>
      </w:r>
    </w:p>
    <w:p w14:paraId="212046AC" w14:textId="01D27D0B" w:rsidR="00B07BF6" w:rsidRPr="000A2653" w:rsidRDefault="0069077F" w:rsidP="00B07BF6">
      <w:pPr>
        <w:bidi/>
        <w:jc w:val="both"/>
        <w:rPr>
          <w:rFonts w:ascii="Times New Roman" w:hAnsi="Times New Roman" w:cs="Times New Roman"/>
          <w:sz w:val="28"/>
          <w:szCs w:val="28"/>
          <w:rtl/>
        </w:rPr>
      </w:pPr>
      <w:r w:rsidRPr="000A2653">
        <w:rPr>
          <w:rFonts w:ascii="Times New Roman" w:hAnsi="Times New Roman" w:cs="Times New Roman"/>
          <w:sz w:val="28"/>
          <w:szCs w:val="28"/>
          <w:rtl/>
        </w:rPr>
        <w:t xml:space="preserve">והנה אנחנו חושבים שהתלמיד יש לו אימתא דרביה בגלל שלמדו, אולם עי' </w:t>
      </w:r>
      <w:r w:rsidRPr="000A2653">
        <w:rPr>
          <w:rFonts w:ascii="Times New Roman" w:hAnsi="Times New Roman" w:cs="Times New Roman"/>
          <w:b/>
          <w:bCs/>
          <w:sz w:val="28"/>
          <w:szCs w:val="28"/>
          <w:rtl/>
        </w:rPr>
        <w:t>בב''ק</w:t>
      </w:r>
      <w:r w:rsidRPr="000A2653">
        <w:rPr>
          <w:rFonts w:ascii="Times New Roman" w:hAnsi="Times New Roman" w:cs="Times New Roman"/>
          <w:sz w:val="28"/>
          <w:szCs w:val="28"/>
          <w:rtl/>
        </w:rPr>
        <w:t xml:space="preserve"> </w:t>
      </w:r>
      <w:r w:rsidRPr="000A2653">
        <w:rPr>
          <w:rFonts w:ascii="Times New Roman" w:hAnsi="Times New Roman" w:cs="Times New Roman"/>
          <w:sz w:val="24"/>
          <w:szCs w:val="24"/>
          <w:rtl/>
        </w:rPr>
        <w:t xml:space="preserve">(דף לב:) </w:t>
      </w:r>
      <w:r w:rsidRPr="000A2653">
        <w:rPr>
          <w:rFonts w:ascii="Times New Roman" w:hAnsi="Times New Roman" w:cs="Times New Roman"/>
          <w:sz w:val="28"/>
          <w:szCs w:val="28"/>
          <w:rtl/>
        </w:rPr>
        <w:t>שהגמ' אומרת ''והתניא הנכנס לחנותו של נפח ונתזה ניצוצות וטפחה לו על פניו ומת פטור ואפילו נכנס ברשות הכא במאי עסקינן בשוליא דנפחי שוליא דנפחי למקטלא קאי כשרבו מסרהב בו לצאת ואינו יוצא ומשום דרבו מסרהב בו לצאת למיקטליה קאי כסבור יצא אי הכי אחר נמי אחר לית ליה אימתא דרביה האי אית ליה אימתא דרביה'', רואים שגם אם למדו דברי חול יש לו אימת רבו, כי עצם זה שהוא מלמד לו זה מטיל על התלמיד, הנכנע לקבל חכמת רבו, אימה.</w:t>
      </w:r>
    </w:p>
    <w:p w14:paraId="28D904F8" w14:textId="2A260360" w:rsidR="00B07BF6" w:rsidRDefault="00B07BF6" w:rsidP="00B07BF6">
      <w:pPr>
        <w:bidi/>
        <w:jc w:val="both"/>
        <w:rPr>
          <w:rFonts w:ascii="Times New Roman" w:hAnsi="Times New Roman" w:cs="Times New Roman"/>
          <w:sz w:val="28"/>
          <w:szCs w:val="28"/>
          <w:rtl/>
        </w:rPr>
      </w:pPr>
      <w:r w:rsidRPr="000A2653">
        <w:rPr>
          <w:rFonts w:ascii="Times New Roman" w:hAnsi="Times New Roman" w:cs="Times New Roman"/>
          <w:sz w:val="28"/>
          <w:szCs w:val="28"/>
          <w:rtl/>
        </w:rPr>
        <w:t>ובאמת הנקודה שיש יראה לתלמיד הוא לא משום שרבו מלמדו, אלא משום שהוא מקבל מרות מהרב שלו, יהראיה מהא דאיתא בב''ק (דף כח.) ''ת''ש מניין לנרצע שכלו לו ימיו ורבו מסרהב בו לצאת וחבל ועשה בו חבורה שהוא פטור ת''ל לא תקחו כופר לשוב לא תקחו כופר לשב הכא במאי עסקינן בעבדא גנבא עד האידנא לא גנב והשתא גנב עד האידנא הוה אימתיה דרביה עליה השתא לית ליה אימתא דרביה עליה''.</w:t>
      </w:r>
    </w:p>
    <w:p w14:paraId="50929C1F" w14:textId="77777777" w:rsidR="000A2653" w:rsidRDefault="000A2653" w:rsidP="000A2653">
      <w:pPr>
        <w:bidi/>
        <w:jc w:val="both"/>
        <w:rPr>
          <w:rFonts w:ascii="Times New Roman" w:hAnsi="Times New Roman" w:cs="Times New Roman"/>
          <w:sz w:val="28"/>
          <w:szCs w:val="28"/>
          <w:rtl/>
        </w:rPr>
      </w:pPr>
    </w:p>
    <w:p w14:paraId="6C4984BB" w14:textId="115A195E" w:rsidR="000A2653" w:rsidRPr="000A2653" w:rsidRDefault="000A2653" w:rsidP="000A2653">
      <w:pPr>
        <w:bidi/>
        <w:jc w:val="both"/>
        <w:rPr>
          <w:rFonts w:ascii="Times New Roman" w:hAnsi="Times New Roman" w:cs="Times New Roman"/>
          <w:sz w:val="36"/>
          <w:szCs w:val="36"/>
          <w:u w:val="single"/>
          <w:rtl/>
        </w:rPr>
      </w:pPr>
      <w:r w:rsidRPr="000A2653">
        <w:rPr>
          <w:rFonts w:ascii="Times New Roman" w:hAnsi="Times New Roman" w:cs="Times New Roman" w:hint="cs"/>
          <w:sz w:val="36"/>
          <w:szCs w:val="36"/>
          <w:u w:val="single"/>
          <w:rtl/>
        </w:rPr>
        <w:t>התלמיד נקרא הבן של הרב</w:t>
      </w:r>
    </w:p>
    <w:p w14:paraId="3880F674" w14:textId="6971AA7C" w:rsidR="000A2653" w:rsidRDefault="000A2653" w:rsidP="000A2653">
      <w:pPr>
        <w:bidi/>
        <w:jc w:val="both"/>
        <w:rPr>
          <w:rFonts w:ascii="Times New Roman" w:hAnsi="Times New Roman" w:cs="Times New Roman"/>
          <w:sz w:val="28"/>
          <w:szCs w:val="28"/>
          <w:rtl/>
        </w:rPr>
      </w:pPr>
      <w:bookmarkStart w:id="0" w:name="_Hlk183884731"/>
      <w:r>
        <w:rPr>
          <w:rFonts w:ascii="Times New Roman" w:hAnsi="Times New Roman" w:cs="Times New Roman" w:hint="cs"/>
          <w:sz w:val="28"/>
          <w:szCs w:val="28"/>
          <w:rtl/>
        </w:rPr>
        <w:t xml:space="preserve">פירש </w:t>
      </w:r>
      <w:r w:rsidRPr="000A2653">
        <w:rPr>
          <w:rFonts w:ascii="Times New Roman" w:hAnsi="Times New Roman" w:cs="Times New Roman" w:hint="cs"/>
          <w:b/>
          <w:bCs/>
          <w:sz w:val="28"/>
          <w:szCs w:val="28"/>
          <w:rtl/>
        </w:rPr>
        <w:t>הכלי יקר</w:t>
      </w:r>
      <w:r>
        <w:rPr>
          <w:rFonts w:ascii="Times New Roman" w:hAnsi="Times New Roman" w:cs="Times New Roman" w:hint="cs"/>
          <w:sz w:val="28"/>
          <w:szCs w:val="28"/>
          <w:rtl/>
        </w:rPr>
        <w:t xml:space="preserve"> </w:t>
      </w:r>
      <w:r w:rsidRPr="000A2653">
        <w:rPr>
          <w:rFonts w:ascii="Times New Roman" w:hAnsi="Times New Roman" w:cs="Times New Roman" w:hint="cs"/>
          <w:sz w:val="24"/>
          <w:szCs w:val="24"/>
          <w:rtl/>
        </w:rPr>
        <w:t xml:space="preserve">(ריש פר' תולדות) </w:t>
      </w:r>
      <w:r w:rsidRPr="000A2653">
        <w:rPr>
          <w:rFonts w:ascii="Times New Roman" w:hAnsi="Times New Roman" w:cs="Times New Roman"/>
          <w:sz w:val="28"/>
          <w:szCs w:val="28"/>
          <w:rtl/>
        </w:rPr>
        <w:t xml:space="preserve">כי בלשון עברי יש חילוק בין לשון בן ללשון תולדה, כי לשון בן יאמר לפעמים אף בלא תולדה כי התלמידים קרוין בנים אע"פ שלא ילדם ממש, וכמו </w:t>
      </w:r>
      <w:r>
        <w:rPr>
          <w:rFonts w:ascii="Times New Roman" w:hAnsi="Times New Roman" w:cs="Times New Roman" w:hint="cs"/>
          <w:sz w:val="28"/>
          <w:szCs w:val="28"/>
          <w:rtl/>
        </w:rPr>
        <w:t>''</w:t>
      </w:r>
      <w:r w:rsidRPr="000A2653">
        <w:rPr>
          <w:rFonts w:ascii="Times New Roman" w:hAnsi="Times New Roman" w:cs="Times New Roman"/>
          <w:sz w:val="28"/>
          <w:szCs w:val="28"/>
          <w:rtl/>
        </w:rPr>
        <w:t>ויהי לה לבן</w:t>
      </w:r>
      <w:r>
        <w:rPr>
          <w:rFonts w:ascii="Times New Roman" w:hAnsi="Times New Roman" w:cs="Times New Roman" w:hint="cs"/>
          <w:sz w:val="28"/>
          <w:szCs w:val="28"/>
          <w:rtl/>
        </w:rPr>
        <w:t>''</w:t>
      </w:r>
      <w:r w:rsidRPr="000A2653">
        <w:rPr>
          <w:rFonts w:ascii="Times New Roman" w:hAnsi="Times New Roman" w:cs="Times New Roman"/>
          <w:sz w:val="28"/>
          <w:szCs w:val="28"/>
          <w:rtl/>
        </w:rPr>
        <w:t xml:space="preserve"> דמשה</w:t>
      </w:r>
      <w:r>
        <w:rPr>
          <w:rFonts w:ascii="Times New Roman" w:hAnsi="Times New Roman" w:cs="Times New Roman" w:hint="cs"/>
          <w:sz w:val="28"/>
          <w:szCs w:val="28"/>
          <w:rtl/>
        </w:rPr>
        <w:t xml:space="preserve"> או כמו ''</w:t>
      </w:r>
      <w:r w:rsidRPr="000A2653">
        <w:rPr>
          <w:rFonts w:ascii="Times New Roman" w:hAnsi="Times New Roman" w:cs="Times New Roman"/>
          <w:sz w:val="28"/>
          <w:szCs w:val="28"/>
          <w:rtl/>
        </w:rPr>
        <w:t>ותהי לו לבת</w:t>
      </w:r>
      <w:r>
        <w:rPr>
          <w:rFonts w:ascii="Times New Roman" w:hAnsi="Times New Roman" w:cs="Times New Roman" w:hint="cs"/>
          <w:sz w:val="28"/>
          <w:szCs w:val="28"/>
          <w:rtl/>
        </w:rPr>
        <w:t>''</w:t>
      </w:r>
      <w:r w:rsidRPr="000A2653">
        <w:rPr>
          <w:rFonts w:ascii="Times New Roman" w:hAnsi="Times New Roman" w:cs="Times New Roman"/>
          <w:sz w:val="28"/>
          <w:szCs w:val="28"/>
          <w:rtl/>
        </w:rPr>
        <w:t xml:space="preserve"> דאסתר, ואברהם נקרא </w:t>
      </w:r>
      <w:r>
        <w:rPr>
          <w:rFonts w:ascii="Times New Roman" w:hAnsi="Times New Roman" w:cs="Times New Roman" w:hint="cs"/>
          <w:sz w:val="28"/>
          <w:szCs w:val="28"/>
          <w:rtl/>
        </w:rPr>
        <w:t>''</w:t>
      </w:r>
      <w:r w:rsidRPr="000A2653">
        <w:rPr>
          <w:rFonts w:ascii="Times New Roman" w:hAnsi="Times New Roman" w:cs="Times New Roman"/>
          <w:sz w:val="28"/>
          <w:szCs w:val="28"/>
          <w:rtl/>
        </w:rPr>
        <w:t>אב המון גוים</w:t>
      </w:r>
      <w:r>
        <w:rPr>
          <w:rFonts w:ascii="Times New Roman" w:hAnsi="Times New Roman" w:cs="Times New Roman" w:hint="cs"/>
          <w:sz w:val="28"/>
          <w:szCs w:val="28"/>
          <w:rtl/>
        </w:rPr>
        <w:t>''</w:t>
      </w:r>
      <w:r w:rsidRPr="000A2653">
        <w:rPr>
          <w:rFonts w:ascii="Times New Roman" w:hAnsi="Times New Roman" w:cs="Times New Roman"/>
          <w:sz w:val="28"/>
          <w:szCs w:val="28"/>
          <w:rtl/>
        </w:rPr>
        <w:t xml:space="preserve"> אע"פ שלא ילדם. וכן יש הבדל בין המלמדו ובין המולידו ממש </w:t>
      </w:r>
      <w:r w:rsidRPr="000A2653">
        <w:rPr>
          <w:rFonts w:ascii="Times New Roman" w:hAnsi="Times New Roman" w:cs="Times New Roman"/>
          <w:sz w:val="28"/>
          <w:szCs w:val="28"/>
          <w:u w:val="single"/>
          <w:rtl/>
        </w:rPr>
        <w:t>כי מה שהאדם מקבל טבע מלמדו זהו במקרה ולא בעצם והמקרה משתנה מצד המקבל. אבל מה שהאדם מקבל טבע מולידו זהו בעצם ולא ישתנה אם יונח כך על טבעו, אם לא מצד רוב חריצות והשתדלות והרגל יכול לבא לידי טבע שני, אבל טבע מלמדו ישתנה בנקל</w:t>
      </w:r>
      <w:r w:rsidRPr="000A2653">
        <w:rPr>
          <w:rFonts w:ascii="Times New Roman" w:hAnsi="Times New Roman" w:cs="Times New Roman"/>
          <w:sz w:val="28"/>
          <w:szCs w:val="28"/>
          <w:rtl/>
        </w:rPr>
        <w:t>. לכך אמר משה (במדבר יא.יב) האנכי הריתי את כל העם הזה אם אנכי ילדתיהו, ואמר אע"פ שהם תלמידי והתלמידים קרויין בנים מ"מ הרי לא ילדתים ממש, ומה אעשה אם מעשיהם משתנים מטובה לרעה, כי הערימו עצה ולא מני ולא ממני יצא הדבר, וא"כ למה זה תטיל כל הטורח הזה עלי כאלו אשמתם תלויה בי</w:t>
      </w:r>
      <w:r>
        <w:rPr>
          <w:rFonts w:ascii="Times New Roman" w:hAnsi="Times New Roman" w:cs="Times New Roman" w:hint="cs"/>
          <w:sz w:val="28"/>
          <w:szCs w:val="28"/>
          <w:rtl/>
        </w:rPr>
        <w:t>.</w:t>
      </w:r>
      <w:bookmarkEnd w:id="0"/>
    </w:p>
    <w:p w14:paraId="5FB61E14" w14:textId="5AEE2003" w:rsidR="009D34F7" w:rsidRPr="000A2653" w:rsidRDefault="009D34F7" w:rsidP="009D34F7">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וכתוב </w:t>
      </w:r>
      <w:r w:rsidRPr="009D34F7">
        <w:rPr>
          <w:rFonts w:ascii="Times New Roman" w:hAnsi="Times New Roman" w:cs="Times New Roman" w:hint="cs"/>
          <w:b/>
          <w:bCs/>
          <w:sz w:val="28"/>
          <w:szCs w:val="28"/>
          <w:rtl/>
        </w:rPr>
        <w:t>בתיקו''ז</w:t>
      </w:r>
      <w:r>
        <w:rPr>
          <w:rFonts w:ascii="Times New Roman" w:hAnsi="Times New Roman" w:cs="Times New Roman" w:hint="cs"/>
          <w:sz w:val="28"/>
          <w:szCs w:val="28"/>
          <w:rtl/>
        </w:rPr>
        <w:t xml:space="preserve"> </w:t>
      </w:r>
      <w:r w:rsidRPr="009D34F7">
        <w:rPr>
          <w:rFonts w:ascii="Times New Roman" w:hAnsi="Times New Roman" w:cs="Times New Roman" w:hint="cs"/>
          <w:sz w:val="24"/>
          <w:szCs w:val="24"/>
          <w:rtl/>
        </w:rPr>
        <w:t xml:space="preserve">(מז.) </w:t>
      </w:r>
      <w:r>
        <w:rPr>
          <w:rFonts w:ascii="Times New Roman" w:hAnsi="Times New Roman" w:cs="Times New Roman" w:hint="cs"/>
          <w:sz w:val="28"/>
          <w:szCs w:val="28"/>
          <w:rtl/>
        </w:rPr>
        <w:t>שבנים ממש נקראים מצד הגופים, ותלמידים של אדם נקראים בנים מצד החכמה שהוליד בהם, והוא רוח הפנימי דבהן.</w:t>
      </w:r>
    </w:p>
    <w:sectPr w:rsidR="009D34F7" w:rsidRPr="000A26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77F"/>
    <w:rsid w:val="000661F1"/>
    <w:rsid w:val="000A2653"/>
    <w:rsid w:val="001D2779"/>
    <w:rsid w:val="00316376"/>
    <w:rsid w:val="0069077F"/>
    <w:rsid w:val="007D2F94"/>
    <w:rsid w:val="009D34F7"/>
    <w:rsid w:val="00B07BF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6FAC2"/>
  <w15:chartTrackingRefBased/>
  <w15:docId w15:val="{99B2F510-7223-4A14-89C2-28C141E1F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B07BF6"/>
    <w:rPr>
      <w:color w:val="0563C1" w:themeColor="hyperlink"/>
      <w:u w:val="single"/>
    </w:rPr>
  </w:style>
  <w:style w:type="character" w:styleId="Mentionnonrsolue">
    <w:name w:val="Unresolved Mention"/>
    <w:basedOn w:val="Policepardfaut"/>
    <w:uiPriority w:val="99"/>
    <w:semiHidden/>
    <w:unhideWhenUsed/>
    <w:rsid w:val="00B07B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282</Words>
  <Characters>1556</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3</cp:revision>
  <dcterms:created xsi:type="dcterms:W3CDTF">2023-12-07T15:15:00Z</dcterms:created>
  <dcterms:modified xsi:type="dcterms:W3CDTF">2025-07-05T19:59:00Z</dcterms:modified>
</cp:coreProperties>
</file>