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07BAF" w14:textId="45BF38FA" w:rsidR="001D2779" w:rsidRPr="00E04F88" w:rsidRDefault="000A0BCD" w:rsidP="006D5E2C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E04F88">
        <w:rPr>
          <w:rFonts w:ascii="David" w:hAnsi="David" w:cs="David"/>
          <w:sz w:val="56"/>
          <w:szCs w:val="56"/>
          <w:u w:val="single"/>
          <w:rtl/>
        </w:rPr>
        <w:t xml:space="preserve">תמרים </w:t>
      </w:r>
    </w:p>
    <w:p w14:paraId="53F9A9B5" w14:textId="2BF06B42" w:rsidR="000A0BCD" w:rsidRPr="00E04F88" w:rsidRDefault="000A0BCD" w:rsidP="000A0BCD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14F8909" w14:textId="2348F1BE" w:rsidR="000A0BCD" w:rsidRPr="00E04F88" w:rsidRDefault="000A0BCD" w:rsidP="000A0BCD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06EC6D6" w14:textId="7893E1C1" w:rsidR="000A0BCD" w:rsidRPr="00E04F88" w:rsidRDefault="000A0BCD" w:rsidP="006D5E2C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E04F88">
        <w:rPr>
          <w:rFonts w:ascii="David" w:hAnsi="David" w:cs="David"/>
          <w:sz w:val="28"/>
          <w:szCs w:val="28"/>
          <w:rtl/>
        </w:rPr>
        <w:t xml:space="preserve">עי' גמ' </w:t>
      </w:r>
      <w:r w:rsidRPr="00E04F88">
        <w:rPr>
          <w:rFonts w:ascii="David" w:hAnsi="David" w:cs="David"/>
          <w:b/>
          <w:bCs/>
          <w:sz w:val="28"/>
          <w:szCs w:val="28"/>
          <w:rtl/>
        </w:rPr>
        <w:t>כתובות</w:t>
      </w:r>
      <w:r w:rsidRPr="00E04F88">
        <w:rPr>
          <w:rFonts w:ascii="David" w:hAnsi="David" w:cs="David"/>
          <w:sz w:val="28"/>
          <w:szCs w:val="28"/>
          <w:rtl/>
        </w:rPr>
        <w:t xml:space="preserve"> </w:t>
      </w:r>
      <w:r w:rsidRPr="00E04F88">
        <w:rPr>
          <w:rFonts w:ascii="David" w:hAnsi="David" w:cs="David"/>
          <w:sz w:val="24"/>
          <w:szCs w:val="24"/>
          <w:rtl/>
        </w:rPr>
        <w:t xml:space="preserve">(דף י:) </w:t>
      </w:r>
      <w:r w:rsidRPr="00E04F88">
        <w:rPr>
          <w:rFonts w:ascii="David" w:hAnsi="David" w:cs="David"/>
          <w:sz w:val="28"/>
          <w:szCs w:val="28"/>
          <w:rtl/>
        </w:rPr>
        <w:t xml:space="preserve">שהגמ' אומרת ''ואמר </w:t>
      </w:r>
      <w:r w:rsidRPr="00E04F88">
        <w:rPr>
          <w:rFonts w:ascii="David" w:hAnsi="David" w:cs="David"/>
          <w:b/>
          <w:bCs/>
          <w:sz w:val="28"/>
          <w:szCs w:val="28"/>
          <w:rtl/>
        </w:rPr>
        <w:t>רב חנא בגדתאה</w:t>
      </w:r>
      <w:r w:rsidRPr="00E04F88">
        <w:rPr>
          <w:rFonts w:ascii="David" w:hAnsi="David" w:cs="David"/>
          <w:sz w:val="28"/>
          <w:szCs w:val="28"/>
          <w:rtl/>
        </w:rPr>
        <w:t xml:space="preserve"> תמרי משחנן משבען משלשלן מאשרן ולא מפנקן'' וכתוב עוד שם ''תמרים שחרית וערבית יפות במנחה רעות בצהרים אין כמותן ומבטלות שלשה דברים מחשבה רעה וחולי מעים ותחתוניות''</w:t>
      </w:r>
      <w:r w:rsidR="006D5E2C" w:rsidRPr="00E04F88">
        <w:rPr>
          <w:rFonts w:ascii="David" w:hAnsi="David" w:cs="David"/>
          <w:sz w:val="28"/>
          <w:szCs w:val="28"/>
          <w:rtl/>
        </w:rPr>
        <w:t>, עוד שם ''ואיבעית אימא לא קשיא הא מקמי נהמא הא לבתר נהמא דאמר אביי אמרה לי אם תמרי מקמי נהמא כי נרגא לדיקולא בתר נהמא כי עברא לדשא דשא''.</w:t>
      </w:r>
    </w:p>
    <w:p w14:paraId="5C48AC9C" w14:textId="2252832B" w:rsidR="006D5E2C" w:rsidRPr="00E04F88" w:rsidRDefault="006D5E2C" w:rsidP="006D5E2C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E04F88">
        <w:rPr>
          <w:rFonts w:ascii="David" w:hAnsi="David" w:cs="David"/>
          <w:sz w:val="28"/>
          <w:szCs w:val="28"/>
          <w:rtl/>
        </w:rPr>
        <w:t>וכתוב שם שאם אכל תמרים אל יורה כי הם טורדות דעת כשכור.</w:t>
      </w:r>
    </w:p>
    <w:p w14:paraId="57FB7BDF" w14:textId="376399D1" w:rsidR="006D5E2C" w:rsidRPr="00E04F88" w:rsidRDefault="006D5E2C" w:rsidP="006D5E2C">
      <w:pPr>
        <w:bidi/>
        <w:jc w:val="both"/>
        <w:rPr>
          <w:rFonts w:ascii="David" w:hAnsi="David" w:cs="David"/>
          <w:sz w:val="28"/>
          <w:szCs w:val="28"/>
        </w:rPr>
      </w:pPr>
      <w:r w:rsidRPr="00E04F88">
        <w:rPr>
          <w:rFonts w:ascii="David" w:hAnsi="David" w:cs="David"/>
          <w:b/>
          <w:bCs/>
          <w:sz w:val="28"/>
          <w:szCs w:val="28"/>
          <w:rtl/>
        </w:rPr>
        <w:t>ורש''י</w:t>
      </w:r>
      <w:r w:rsidRPr="00E04F88">
        <w:rPr>
          <w:rFonts w:ascii="David" w:hAnsi="David" w:cs="David"/>
          <w:sz w:val="28"/>
          <w:szCs w:val="28"/>
          <w:rtl/>
        </w:rPr>
        <w:t xml:space="preserve"> פירש </w:t>
      </w:r>
      <w:r w:rsidR="00984260" w:rsidRPr="00E04F88">
        <w:rPr>
          <w:rFonts w:ascii="David" w:hAnsi="David" w:cs="David"/>
          <w:sz w:val="28"/>
          <w:szCs w:val="28"/>
          <w:rtl/>
        </w:rPr>
        <w:t>''</w:t>
      </w:r>
      <w:r w:rsidRPr="00E04F88">
        <w:rPr>
          <w:rFonts w:ascii="David" w:hAnsi="David" w:cs="David"/>
          <w:b/>
          <w:bCs/>
          <w:sz w:val="28"/>
          <w:szCs w:val="28"/>
          <w:rtl/>
        </w:rPr>
        <w:t>משחנן</w:t>
      </w:r>
      <w:r w:rsidRPr="00E04F88">
        <w:rPr>
          <w:rFonts w:ascii="David" w:hAnsi="David" w:cs="David"/>
          <w:sz w:val="28"/>
          <w:szCs w:val="28"/>
          <w:rtl/>
        </w:rPr>
        <w:t>. מחממות:</w:t>
      </w:r>
      <w:r w:rsidRPr="00E04F88">
        <w:rPr>
          <w:rFonts w:ascii="David" w:hAnsi="David" w:cs="David"/>
          <w:b/>
          <w:bCs/>
          <w:sz w:val="28"/>
          <w:szCs w:val="28"/>
          <w:rtl/>
        </w:rPr>
        <w:t xml:space="preserve"> משלשלן</w:t>
      </w:r>
      <w:r w:rsidRPr="00E04F88">
        <w:rPr>
          <w:rFonts w:ascii="David" w:hAnsi="David" w:cs="David"/>
          <w:sz w:val="28"/>
          <w:szCs w:val="28"/>
          <w:rtl/>
        </w:rPr>
        <w:t>. שלשול:</w:t>
      </w:r>
      <w:r w:rsidRPr="00E04F88">
        <w:rPr>
          <w:rFonts w:ascii="David" w:hAnsi="David" w:cs="David"/>
          <w:b/>
          <w:bCs/>
          <w:sz w:val="28"/>
          <w:szCs w:val="28"/>
          <w:rtl/>
        </w:rPr>
        <w:t xml:space="preserve"> מאשרן</w:t>
      </w:r>
      <w:r w:rsidRPr="00E04F88">
        <w:rPr>
          <w:rFonts w:ascii="David" w:hAnsi="David" w:cs="David"/>
          <w:sz w:val="28"/>
          <w:szCs w:val="28"/>
          <w:rtl/>
        </w:rPr>
        <w:t>. מחזיקות כח כמו אשרו חמוץ (ישעיהו א):</w:t>
      </w:r>
      <w:r w:rsidRPr="00E04F88">
        <w:rPr>
          <w:rFonts w:ascii="David" w:hAnsi="David" w:cs="David"/>
          <w:b/>
          <w:bCs/>
          <w:sz w:val="28"/>
          <w:szCs w:val="28"/>
          <w:rtl/>
        </w:rPr>
        <w:t xml:space="preserve"> ולא מפנקן</w:t>
      </w:r>
      <w:r w:rsidRPr="00E04F88">
        <w:rPr>
          <w:rFonts w:ascii="David" w:hAnsi="David" w:cs="David"/>
          <w:sz w:val="28"/>
          <w:szCs w:val="28"/>
          <w:rtl/>
        </w:rPr>
        <w:t>. אינן מרבות אסטניסא על הלב וכלן לשבח:</w:t>
      </w:r>
      <w:r w:rsidRPr="00E04F88">
        <w:rPr>
          <w:rFonts w:ascii="David" w:hAnsi="David" w:cs="David"/>
          <w:b/>
          <w:bCs/>
          <w:sz w:val="28"/>
          <w:szCs w:val="28"/>
          <w:rtl/>
        </w:rPr>
        <w:t xml:space="preserve"> אל יורה</w:t>
      </w:r>
      <w:r w:rsidRPr="00E04F88">
        <w:rPr>
          <w:rFonts w:ascii="David" w:hAnsi="David" w:cs="David"/>
          <w:sz w:val="28"/>
          <w:szCs w:val="28"/>
          <w:rtl/>
        </w:rPr>
        <w:t>. שום הוראה לפי שטורדות דעתו כשיכור:</w:t>
      </w:r>
      <w:r w:rsidRPr="00E04F88">
        <w:rPr>
          <w:rFonts w:ascii="David" w:hAnsi="David" w:cs="David"/>
          <w:b/>
          <w:bCs/>
          <w:sz w:val="28"/>
          <w:szCs w:val="28"/>
          <w:rtl/>
        </w:rPr>
        <w:t xml:space="preserve"> שחרית וערבית יפות</w:t>
      </w:r>
      <w:r w:rsidRPr="00E04F88">
        <w:rPr>
          <w:rFonts w:ascii="David" w:hAnsi="David" w:cs="David"/>
          <w:sz w:val="28"/>
          <w:szCs w:val="28"/>
          <w:rtl/>
        </w:rPr>
        <w:t>. כללא דמילתא לאחר אכילה יפות שחרית דרכן של בני אדם בפת שחרית כדאמר בהמקבל (ב''מ קז:) ערבית לאחר אכילה:</w:t>
      </w:r>
      <w:r w:rsidRPr="00E04F88">
        <w:rPr>
          <w:rFonts w:ascii="David" w:hAnsi="David" w:cs="David"/>
          <w:b/>
          <w:bCs/>
          <w:sz w:val="28"/>
          <w:szCs w:val="28"/>
          <w:rtl/>
        </w:rPr>
        <w:t xml:space="preserve"> במנחה רעות</w:t>
      </w:r>
      <w:r w:rsidRPr="00E04F88">
        <w:rPr>
          <w:rFonts w:ascii="David" w:hAnsi="David" w:cs="David"/>
          <w:sz w:val="28"/>
          <w:szCs w:val="28"/>
          <w:rtl/>
        </w:rPr>
        <w:t>. שהן קודם אכילה לאחר שינת הצהרים:</w:t>
      </w:r>
      <w:r w:rsidRPr="00E04F88">
        <w:rPr>
          <w:rFonts w:ascii="David" w:hAnsi="David" w:cs="David"/>
          <w:b/>
          <w:bCs/>
          <w:sz w:val="28"/>
          <w:szCs w:val="28"/>
          <w:rtl/>
        </w:rPr>
        <w:t xml:space="preserve"> בצהרים</w:t>
      </w:r>
      <w:r w:rsidRPr="00E04F88">
        <w:rPr>
          <w:rFonts w:ascii="David" w:hAnsi="David" w:cs="David"/>
          <w:sz w:val="28"/>
          <w:szCs w:val="28"/>
          <w:rtl/>
        </w:rPr>
        <w:t>. לאחר הסעודה שאכל ושבע:</w:t>
      </w:r>
      <w:r w:rsidRPr="00E04F88">
        <w:rPr>
          <w:rFonts w:ascii="David" w:hAnsi="David" w:cs="David"/>
          <w:b/>
          <w:bCs/>
          <w:sz w:val="28"/>
          <w:szCs w:val="28"/>
          <w:rtl/>
        </w:rPr>
        <w:t xml:space="preserve"> אין כמותם</w:t>
      </w:r>
      <w:r w:rsidRPr="00E04F88">
        <w:rPr>
          <w:rFonts w:ascii="David" w:hAnsi="David" w:cs="David"/>
          <w:sz w:val="28"/>
          <w:szCs w:val="28"/>
          <w:rtl/>
        </w:rPr>
        <w:t>. וטובות יותר מערבית לפי שאינו מעוכב ביום מלילך לשדות לבית הכסא בכל עת שירצה אבל בלילה טורח הוא לו:</w:t>
      </w:r>
      <w:r w:rsidRPr="00E04F88">
        <w:rPr>
          <w:rFonts w:ascii="David" w:hAnsi="David" w:cs="David"/>
          <w:b/>
          <w:bCs/>
          <w:sz w:val="28"/>
          <w:szCs w:val="28"/>
          <w:rtl/>
        </w:rPr>
        <w:t xml:space="preserve"> מבטלות מחשבה רעה</w:t>
      </w:r>
      <w:r w:rsidRPr="00E04F88">
        <w:rPr>
          <w:rFonts w:ascii="David" w:hAnsi="David" w:cs="David"/>
          <w:sz w:val="28"/>
          <w:szCs w:val="28"/>
          <w:rtl/>
        </w:rPr>
        <w:t xml:space="preserve">. דאגה לפי שמשמחות את הלב וצהרים שעת אורה וצהלה היא </w:t>
      </w:r>
      <w:r w:rsidRPr="00E04F88">
        <w:rPr>
          <w:rFonts w:ascii="David" w:hAnsi="David" w:cs="David"/>
          <w:b/>
          <w:bCs/>
          <w:sz w:val="28"/>
          <w:szCs w:val="28"/>
          <w:rtl/>
        </w:rPr>
        <w:t>כי עברא לדשא</w:t>
      </w:r>
      <w:r w:rsidRPr="00E04F88">
        <w:rPr>
          <w:rFonts w:ascii="David" w:hAnsi="David" w:cs="David"/>
          <w:sz w:val="28"/>
          <w:szCs w:val="28"/>
          <w:rtl/>
        </w:rPr>
        <w:t>. מחזיקות את הגוף כבריח את הדלת</w:t>
      </w:r>
      <w:r w:rsidR="00984260" w:rsidRPr="00E04F88">
        <w:rPr>
          <w:rFonts w:ascii="David" w:hAnsi="David" w:cs="David"/>
          <w:sz w:val="28"/>
          <w:szCs w:val="28"/>
          <w:rtl/>
        </w:rPr>
        <w:t>''.</w:t>
      </w:r>
    </w:p>
    <w:sectPr w:rsidR="006D5E2C" w:rsidRPr="00E04F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CD"/>
    <w:rsid w:val="000A0BCD"/>
    <w:rsid w:val="001D2779"/>
    <w:rsid w:val="006D5E2C"/>
    <w:rsid w:val="00984260"/>
    <w:rsid w:val="00E0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FF21E"/>
  <w15:chartTrackingRefBased/>
  <w15:docId w15:val="{2299761D-5DCF-41F6-934B-7E7384BB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156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3</cp:revision>
  <dcterms:created xsi:type="dcterms:W3CDTF">2022-07-24T07:28:00Z</dcterms:created>
  <dcterms:modified xsi:type="dcterms:W3CDTF">2023-04-26T09:13:00Z</dcterms:modified>
</cp:coreProperties>
</file>