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C8F4F" w14:textId="76A6030C" w:rsidR="001D2779" w:rsidRPr="002A5438" w:rsidRDefault="002A5438" w:rsidP="002A5438">
      <w:pPr>
        <w:ind w:left="3540"/>
        <w:rPr>
          <w:rFonts w:ascii="David" w:hAnsi="David" w:cs="David"/>
          <w:sz w:val="56"/>
          <w:szCs w:val="56"/>
          <w:u w:val="single"/>
        </w:rPr>
      </w:pPr>
      <w:r w:rsidRPr="002A5438">
        <w:rPr>
          <w:rFonts w:ascii="David" w:hAnsi="David" w:cs="David"/>
          <w:sz w:val="56"/>
          <w:szCs w:val="56"/>
          <w:u w:val="single"/>
        </w:rPr>
        <w:t>Cohérence</w:t>
      </w:r>
    </w:p>
    <w:p w14:paraId="59CFD2ED" w14:textId="14DBB9C6" w:rsidR="002A5438" w:rsidRDefault="002A5438">
      <w:pPr>
        <w:rPr>
          <w:rFonts w:ascii="David" w:hAnsi="David" w:cs="David"/>
          <w:sz w:val="28"/>
          <w:szCs w:val="28"/>
          <w:u w:val="single"/>
        </w:rPr>
      </w:pPr>
    </w:p>
    <w:p w14:paraId="4C729514" w14:textId="62CE0A4A" w:rsidR="002A5438" w:rsidRDefault="002A5438">
      <w:pPr>
        <w:rPr>
          <w:rFonts w:ascii="David" w:hAnsi="David" w:cs="David"/>
          <w:sz w:val="28"/>
          <w:szCs w:val="28"/>
          <w:u w:val="single"/>
        </w:rPr>
      </w:pPr>
    </w:p>
    <w:p w14:paraId="156D938D" w14:textId="27C23375" w:rsidR="002A5438" w:rsidRDefault="002A5438">
      <w:pPr>
        <w:rPr>
          <w:rFonts w:ascii="David" w:hAnsi="David" w:cs="David"/>
          <w:sz w:val="28"/>
          <w:szCs w:val="28"/>
          <w:u w:val="single"/>
        </w:rPr>
      </w:pPr>
    </w:p>
    <w:p w14:paraId="37D36BFE" w14:textId="6DC43F4D" w:rsidR="002A5438" w:rsidRPr="002A5438" w:rsidRDefault="002A5438" w:rsidP="002A5438">
      <w:pPr>
        <w:bidi/>
        <w:jc w:val="both"/>
        <w:rPr>
          <w:rFonts w:ascii="David" w:hAnsi="David" w:cs="David" w:hint="cs"/>
          <w:sz w:val="36"/>
          <w:szCs w:val="36"/>
          <w:u w:val="single"/>
          <w:rtl/>
        </w:rPr>
      </w:pPr>
      <w:r w:rsidRPr="002A5438">
        <w:rPr>
          <w:rFonts w:ascii="David" w:hAnsi="David" w:cs="David" w:hint="cs"/>
          <w:sz w:val="36"/>
          <w:szCs w:val="36"/>
          <w:u w:val="single"/>
          <w:rtl/>
        </w:rPr>
        <w:t>היא המידה הנבחרת</w:t>
      </w:r>
    </w:p>
    <w:p w14:paraId="66E41B27" w14:textId="21BF0299" w:rsidR="002A5438" w:rsidRPr="00336831" w:rsidRDefault="002A5438" w:rsidP="002A5438">
      <w:pPr>
        <w:bidi/>
        <w:jc w:val="both"/>
        <w:rPr>
          <w:rFonts w:ascii="David" w:hAnsi="David" w:cs="David"/>
          <w:sz w:val="28"/>
          <w:szCs w:val="28"/>
          <w:rtl/>
        </w:rPr>
      </w:pPr>
      <w:r w:rsidRPr="00336831">
        <w:rPr>
          <w:rFonts w:ascii="David" w:hAnsi="David" w:cs="David"/>
          <w:sz w:val="28"/>
          <w:szCs w:val="28"/>
          <w:rtl/>
        </w:rPr>
        <w:t xml:space="preserve">ועי' </w:t>
      </w:r>
      <w:r w:rsidRPr="00336831">
        <w:rPr>
          <w:rFonts w:ascii="David" w:hAnsi="David" w:cs="David"/>
          <w:b/>
          <w:bCs/>
          <w:sz w:val="28"/>
          <w:szCs w:val="28"/>
          <w:rtl/>
        </w:rPr>
        <w:t>הרב דסלר</w:t>
      </w:r>
      <w:r w:rsidRPr="00336831">
        <w:rPr>
          <w:rFonts w:ascii="David" w:hAnsi="David" w:cs="David"/>
          <w:sz w:val="28"/>
          <w:szCs w:val="28"/>
          <w:rtl/>
        </w:rPr>
        <w:t xml:space="preserve"> בספרו </w:t>
      </w:r>
      <w:r w:rsidRPr="00336831">
        <w:rPr>
          <w:rFonts w:ascii="David" w:hAnsi="David" w:cs="David"/>
          <w:b/>
          <w:bCs/>
          <w:sz w:val="28"/>
          <w:szCs w:val="28"/>
          <w:rtl/>
        </w:rPr>
        <w:t>מכתב מאליהו</w:t>
      </w:r>
      <w:r w:rsidRPr="00336831">
        <w:rPr>
          <w:rFonts w:ascii="David" w:hAnsi="David" w:cs="David"/>
          <w:sz w:val="28"/>
          <w:szCs w:val="28"/>
          <w:rtl/>
        </w:rPr>
        <w:t xml:space="preserve"> </w:t>
      </w:r>
      <w:r w:rsidRPr="00336831">
        <w:rPr>
          <w:rFonts w:ascii="David" w:hAnsi="David" w:cs="David"/>
          <w:sz w:val="24"/>
          <w:szCs w:val="24"/>
          <w:rtl/>
        </w:rPr>
        <w:t xml:space="preserve">(חלק ד עמ' 235) </w:t>
      </w:r>
      <w:r w:rsidRPr="00336831">
        <w:rPr>
          <w:rFonts w:ascii="David" w:hAnsi="David" w:cs="David"/>
          <w:sz w:val="28"/>
          <w:szCs w:val="28"/>
          <w:rtl/>
        </w:rPr>
        <w:t xml:space="preserve">שכתב וז''ל ''שאלוני, אם אפשר לאדם לעבוד לקניית מידה אחת בלבד, באיזו מידה יבחר? </w:t>
      </w:r>
    </w:p>
    <w:p w14:paraId="57F29D8E" w14:textId="77777777" w:rsidR="002A5438" w:rsidRPr="00336831" w:rsidRDefault="002A5438" w:rsidP="002A5438">
      <w:pPr>
        <w:bidi/>
        <w:jc w:val="both"/>
        <w:rPr>
          <w:rFonts w:ascii="David" w:hAnsi="David" w:cs="David"/>
          <w:sz w:val="28"/>
          <w:szCs w:val="28"/>
          <w:rtl/>
        </w:rPr>
      </w:pPr>
      <w:r w:rsidRPr="00336831">
        <w:rPr>
          <w:rFonts w:ascii="David" w:hAnsi="David" w:cs="David"/>
          <w:sz w:val="28"/>
          <w:szCs w:val="28"/>
          <w:rtl/>
        </w:rPr>
        <w:t>אמרתי קנה מידת העקביות</w:t>
      </w:r>
      <w:r w:rsidRPr="00336831">
        <w:rPr>
          <w:rStyle w:val="Appelnotedebasdep"/>
          <w:rFonts w:ascii="David" w:hAnsi="David" w:cs="David"/>
          <w:sz w:val="28"/>
          <w:szCs w:val="28"/>
          <w:rtl/>
        </w:rPr>
        <w:footnoteReference w:id="1"/>
      </w:r>
      <w:r w:rsidRPr="00336831">
        <w:rPr>
          <w:rFonts w:ascii="David" w:hAnsi="David" w:cs="David"/>
          <w:sz w:val="28"/>
          <w:szCs w:val="28"/>
          <w:rtl/>
        </w:rPr>
        <w:t>, כי בגללה יבוא הכל, עקביות פירושה:</w:t>
      </w:r>
      <w:r w:rsidRPr="00336831">
        <w:rPr>
          <w:rFonts w:ascii="David" w:hAnsi="David" w:cs="David"/>
          <w:sz w:val="28"/>
          <w:szCs w:val="28"/>
        </w:rPr>
        <w:t xml:space="preserve"> </w:t>
      </w:r>
      <w:r w:rsidRPr="00336831">
        <w:rPr>
          <w:rFonts w:ascii="David" w:hAnsi="David" w:cs="David"/>
          <w:sz w:val="28"/>
          <w:szCs w:val="28"/>
          <w:rtl/>
        </w:rPr>
        <w:t xml:space="preserve"> ללכת תמיד בעקבות הכרותיו ולא לזוז מהן אפי' במלא נימא, האמת שהוא מכיר בליבו על פיה מחליט לפעול, וכך הוא עושה.</w:t>
      </w:r>
    </w:p>
    <w:p w14:paraId="11932A21" w14:textId="77777777" w:rsidR="002A5438" w:rsidRPr="00336831" w:rsidRDefault="002A5438" w:rsidP="002A5438">
      <w:pPr>
        <w:bidi/>
        <w:jc w:val="both"/>
        <w:rPr>
          <w:rFonts w:ascii="David" w:hAnsi="David" w:cs="David"/>
          <w:sz w:val="28"/>
          <w:szCs w:val="28"/>
          <w:rtl/>
        </w:rPr>
      </w:pPr>
      <w:r w:rsidRPr="00336831">
        <w:rPr>
          <w:rFonts w:ascii="David" w:hAnsi="David" w:cs="David"/>
          <w:sz w:val="28"/>
          <w:szCs w:val="28"/>
          <w:rtl/>
        </w:rPr>
        <w:t>מי שמעשיו סותרים את השגותיו, היינו שהטוב בו בכח ולא בפועל, מי שלא רוצה לפתוח את עיניו הרי כמוהו כסומא, מה לי שהוא יכול לראות, הרי למעשה אינו רואה''.</w:t>
      </w:r>
    </w:p>
    <w:p w14:paraId="603CE1EC" w14:textId="77777777" w:rsidR="002A5438" w:rsidRPr="002A5438" w:rsidRDefault="002A5438" w:rsidP="002A5438">
      <w:pPr>
        <w:bidi/>
        <w:jc w:val="both"/>
        <w:rPr>
          <w:rFonts w:ascii="David" w:hAnsi="David" w:cs="David"/>
          <w:sz w:val="28"/>
          <w:szCs w:val="28"/>
          <w:u w:val="single"/>
        </w:rPr>
      </w:pPr>
    </w:p>
    <w:sectPr w:rsidR="002A5438" w:rsidRPr="002A54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DAD897" w14:textId="77777777" w:rsidR="0094547D" w:rsidRDefault="0094547D" w:rsidP="002A5438">
      <w:pPr>
        <w:spacing w:after="0" w:line="240" w:lineRule="auto"/>
      </w:pPr>
      <w:r>
        <w:separator/>
      </w:r>
    </w:p>
  </w:endnote>
  <w:endnote w:type="continuationSeparator" w:id="0">
    <w:p w14:paraId="39AC6848" w14:textId="77777777" w:rsidR="0094547D" w:rsidRDefault="0094547D" w:rsidP="002A54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9A3FF0" w14:textId="77777777" w:rsidR="0094547D" w:rsidRDefault="0094547D" w:rsidP="002A5438">
      <w:pPr>
        <w:spacing w:after="0" w:line="240" w:lineRule="auto"/>
      </w:pPr>
      <w:r>
        <w:separator/>
      </w:r>
    </w:p>
  </w:footnote>
  <w:footnote w:type="continuationSeparator" w:id="0">
    <w:p w14:paraId="2D95A701" w14:textId="77777777" w:rsidR="0094547D" w:rsidRDefault="0094547D" w:rsidP="002A5438">
      <w:pPr>
        <w:spacing w:after="0" w:line="240" w:lineRule="auto"/>
      </w:pPr>
      <w:r>
        <w:continuationSeparator/>
      </w:r>
    </w:p>
  </w:footnote>
  <w:footnote w:id="1">
    <w:p w14:paraId="55C3E9C9" w14:textId="77777777" w:rsidR="002A5438" w:rsidRDefault="002A5438" w:rsidP="002A5438">
      <w:pPr>
        <w:pStyle w:val="Notedebasdepage"/>
        <w:bidi/>
        <w:jc w:val="both"/>
        <w:rPr>
          <w:rtl/>
        </w:rPr>
      </w:pPr>
      <w:r>
        <w:rPr>
          <w:rStyle w:val="Appelnotedebasdep"/>
        </w:rPr>
        <w:footnoteRef/>
      </w:r>
      <w:r>
        <w:t xml:space="preserve"> </w:t>
      </w:r>
      <w:r>
        <w:rPr>
          <w:rFonts w:hint="cs"/>
          <w:rtl/>
        </w:rPr>
        <w:t xml:space="preserve"> </w:t>
      </w:r>
      <w:r>
        <w:t>cohérence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438"/>
    <w:rsid w:val="001D2779"/>
    <w:rsid w:val="002A5438"/>
    <w:rsid w:val="0094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3182D"/>
  <w15:chartTrackingRefBased/>
  <w15:docId w15:val="{888B72B9-D2AA-43B6-B81E-60B68D924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2A5438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2A5438"/>
    <w:rPr>
      <w:noProof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2A543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404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1</cp:revision>
  <dcterms:created xsi:type="dcterms:W3CDTF">2023-06-13T18:06:00Z</dcterms:created>
  <dcterms:modified xsi:type="dcterms:W3CDTF">2023-06-13T18:07:00Z</dcterms:modified>
</cp:coreProperties>
</file>