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5E760" w14:textId="4D34A707" w:rsidR="00115292" w:rsidRPr="00921B0E" w:rsidRDefault="00EB6BD8" w:rsidP="00F0794E">
      <w:pPr>
        <w:pStyle w:val="a9"/>
        <w:numPr>
          <w:ilvl w:val="0"/>
          <w:numId w:val="5"/>
        </w:numPr>
        <w:spacing w:line="360" w:lineRule="auto"/>
        <w:rPr>
          <w:rFonts w:ascii="Times New Roman" w:eastAsia="楷体" w:hAnsi="Times New Roman"/>
        </w:rPr>
      </w:pPr>
      <w:r w:rsidRPr="00921B0E">
        <w:rPr>
          <w:rFonts w:ascii="Times New Roman" w:eastAsia="楷体" w:hAnsi="Times New Roman"/>
        </w:rPr>
        <w:t>Raw reads</w:t>
      </w:r>
      <w:r w:rsidR="00115292" w:rsidRPr="00921B0E">
        <w:rPr>
          <w:rFonts w:ascii="Times New Roman" w:eastAsia="楷体" w:hAnsi="Times New Roman" w:hint="eastAsia"/>
        </w:rPr>
        <w:t>数据质控</w:t>
      </w:r>
      <w:r w:rsidR="00884CE4" w:rsidRPr="00921B0E">
        <w:rPr>
          <w:rFonts w:ascii="Times New Roman" w:eastAsia="楷体" w:hAnsi="Times New Roman" w:hint="eastAsia"/>
        </w:rPr>
        <w:t>，输出：</w:t>
      </w:r>
      <w:r w:rsidR="00884CE4" w:rsidRPr="00921B0E">
        <w:rPr>
          <w:rFonts w:ascii="Times New Roman" w:eastAsia="楷体" w:hAnsi="Times New Roman"/>
        </w:rPr>
        <w:t>Clean reads:</w:t>
      </w:r>
      <w:r w:rsidR="00884CE4" w:rsidRPr="00921B0E">
        <w:rPr>
          <w:rFonts w:ascii="Times New Roman" w:eastAsia="楷体" w:hAnsi="Times New Roman"/>
          <w:b/>
          <w:bCs/>
        </w:rPr>
        <w:t xml:space="preserve"> fastp</w:t>
      </w:r>
    </w:p>
    <w:p w14:paraId="200A4535" w14:textId="77777777" w:rsidR="00115292" w:rsidRDefault="00115292" w:rsidP="00F0794E">
      <w:pPr>
        <w:pStyle w:val="a9"/>
        <w:numPr>
          <w:ilvl w:val="1"/>
          <w:numId w:val="5"/>
        </w:num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去</w:t>
      </w:r>
      <w:r>
        <w:rPr>
          <w:rFonts w:ascii="Times New Roman" w:eastAsia="楷体" w:hAnsi="Times New Roman"/>
        </w:rPr>
        <w:t>adapter</w:t>
      </w:r>
    </w:p>
    <w:p w14:paraId="6D6E3E88" w14:textId="77777777" w:rsidR="00B61C11" w:rsidRDefault="00115292" w:rsidP="00F0794E">
      <w:pPr>
        <w:pStyle w:val="a9"/>
        <w:numPr>
          <w:ilvl w:val="1"/>
          <w:numId w:val="5"/>
        </w:num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去低质量碱基</w:t>
      </w:r>
      <w:r w:rsidR="00B61C11">
        <w:rPr>
          <w:rFonts w:ascii="Times New Roman" w:eastAsia="楷体" w:hAnsi="Times New Roman"/>
        </w:rPr>
        <w:t>(q&lt;20)</w:t>
      </w:r>
    </w:p>
    <w:p w14:paraId="75B20366" w14:textId="77777777" w:rsidR="00B61C11" w:rsidRDefault="00B61C11" w:rsidP="00F0794E">
      <w:pPr>
        <w:pStyle w:val="a9"/>
        <w:numPr>
          <w:ilvl w:val="1"/>
          <w:numId w:val="5"/>
        </w:num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去短序列（</w:t>
      </w:r>
      <w:r>
        <w:rPr>
          <w:rFonts w:ascii="Times New Roman" w:eastAsia="楷体" w:hAnsi="Times New Roman"/>
        </w:rPr>
        <w:t>&lt;</w:t>
      </w:r>
      <w:r>
        <w:rPr>
          <w:rFonts w:ascii="Times New Roman" w:eastAsia="楷体" w:hAnsi="Times New Roman" w:hint="eastAsia"/>
        </w:rPr>
        <w:t>36</w:t>
      </w:r>
      <w:r>
        <w:rPr>
          <w:rFonts w:ascii="Times New Roman" w:eastAsia="楷体" w:hAnsi="Times New Roman"/>
        </w:rPr>
        <w:t>bp</w:t>
      </w:r>
      <w:r>
        <w:rPr>
          <w:rFonts w:ascii="Times New Roman" w:eastAsia="楷体" w:hAnsi="Times New Roman" w:hint="eastAsia"/>
        </w:rPr>
        <w:t>）</w:t>
      </w:r>
    </w:p>
    <w:p w14:paraId="77E32FAD" w14:textId="6100BC9F" w:rsidR="004B1E0A" w:rsidRDefault="00B61C11" w:rsidP="00F0794E">
      <w:pPr>
        <w:pStyle w:val="a9"/>
        <w:numPr>
          <w:ilvl w:val="1"/>
          <w:numId w:val="5"/>
        </w:numPr>
        <w:spacing w:line="360" w:lineRule="auto"/>
        <w:rPr>
          <w:rFonts w:ascii="Times New Roman" w:eastAsia="楷体" w:hAnsi="Times New Roman"/>
        </w:rPr>
      </w:pPr>
      <w:r w:rsidRPr="00B61C11">
        <w:rPr>
          <w:rFonts w:ascii="Times New Roman" w:eastAsia="楷体" w:hAnsi="Times New Roman" w:hint="eastAsia"/>
        </w:rPr>
        <w:t>去冗余序列</w:t>
      </w:r>
    </w:p>
    <w:p w14:paraId="7B455F77" w14:textId="77777777" w:rsidR="00F0794E" w:rsidRPr="00F0794E" w:rsidRDefault="00F0794E" w:rsidP="00F0794E">
      <w:pPr>
        <w:spacing w:line="360" w:lineRule="auto"/>
        <w:rPr>
          <w:rFonts w:ascii="Times New Roman" w:eastAsia="楷体" w:hAnsi="Times New Roman"/>
        </w:rPr>
      </w:pPr>
    </w:p>
    <w:p w14:paraId="4AC25C85" w14:textId="2C3CCFA7" w:rsidR="00EB6BD8" w:rsidRPr="004F3536" w:rsidRDefault="00EB6BD8" w:rsidP="00F0794E">
      <w:pPr>
        <w:pStyle w:val="a9"/>
        <w:numPr>
          <w:ilvl w:val="0"/>
          <w:numId w:val="5"/>
        </w:numPr>
        <w:spacing w:line="360" w:lineRule="auto"/>
        <w:rPr>
          <w:rFonts w:ascii="Times New Roman" w:eastAsia="楷体" w:hAnsi="Times New Roman"/>
        </w:rPr>
      </w:pPr>
      <w:r w:rsidRPr="004F3536">
        <w:rPr>
          <w:rFonts w:ascii="Times New Roman" w:eastAsia="楷体" w:hAnsi="Times New Roman"/>
        </w:rPr>
        <w:t>Clean reads</w:t>
      </w:r>
      <w:r w:rsidRPr="004F3536">
        <w:rPr>
          <w:rFonts w:ascii="Times New Roman" w:eastAsia="楷体" w:hAnsi="Times New Roman" w:hint="eastAsia"/>
        </w:rPr>
        <w:t>去宿主</w:t>
      </w:r>
      <w:r w:rsidR="00884CE4" w:rsidRPr="004F3536">
        <w:rPr>
          <w:rFonts w:ascii="Times New Roman" w:eastAsia="楷体" w:hAnsi="Times New Roman" w:hint="eastAsia"/>
        </w:rPr>
        <w:t>，输出：</w:t>
      </w:r>
      <w:r w:rsidR="00884CE4" w:rsidRPr="004F3536">
        <w:rPr>
          <w:rFonts w:ascii="Times New Roman" w:eastAsia="楷体" w:hAnsi="Times New Roman"/>
        </w:rPr>
        <w:t xml:space="preserve">unmapped </w:t>
      </w:r>
      <w:r w:rsidR="00884CE4" w:rsidRPr="004F3536">
        <w:rPr>
          <w:rFonts w:ascii="Times New Roman" w:eastAsia="楷体" w:hAnsi="Times New Roman" w:hint="eastAsia"/>
        </w:rPr>
        <w:t>c</w:t>
      </w:r>
      <w:r w:rsidR="00884CE4" w:rsidRPr="004F3536">
        <w:rPr>
          <w:rFonts w:ascii="Times New Roman" w:eastAsia="楷体" w:hAnsi="Times New Roman"/>
        </w:rPr>
        <w:t>lean</w:t>
      </w:r>
      <w:r w:rsidR="00884CE4" w:rsidRPr="004F3536">
        <w:rPr>
          <w:rFonts w:ascii="Times New Roman" w:eastAsia="楷体" w:hAnsi="Times New Roman" w:hint="eastAsia"/>
        </w:rPr>
        <w:t xml:space="preserve"> reads</w:t>
      </w:r>
      <w:r w:rsidR="00E24BF2" w:rsidRPr="004F3536">
        <w:rPr>
          <w:rFonts w:ascii="Times New Roman" w:eastAsia="楷体" w:hAnsi="Times New Roman" w:hint="eastAsia"/>
        </w:rPr>
        <w:t>：</w:t>
      </w:r>
      <w:r w:rsidR="00E24BF2" w:rsidRPr="004F3536">
        <w:rPr>
          <w:rFonts w:ascii="Times New Roman" w:eastAsia="楷体" w:hAnsi="Times New Roman" w:hint="eastAsia"/>
          <w:b/>
          <w:bCs/>
        </w:rPr>
        <w:t>bow</w:t>
      </w:r>
      <w:r w:rsidR="00E24BF2" w:rsidRPr="004F3536">
        <w:rPr>
          <w:rFonts w:ascii="Times New Roman" w:eastAsia="楷体" w:hAnsi="Times New Roman"/>
          <w:b/>
          <w:bCs/>
        </w:rPr>
        <w:t>tie2</w:t>
      </w:r>
    </w:p>
    <w:p w14:paraId="678A389D" w14:textId="53C91FC3" w:rsidR="00EB6BD8" w:rsidRDefault="00EB6BD8" w:rsidP="00F0794E">
      <w:pPr>
        <w:spacing w:line="360" w:lineRule="auto"/>
        <w:ind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数据质控完成后，</w:t>
      </w:r>
      <w:r w:rsidR="00E24BF2">
        <w:rPr>
          <w:rFonts w:ascii="Times New Roman" w:eastAsia="楷体" w:hAnsi="Times New Roman" w:hint="eastAsia"/>
        </w:rPr>
        <w:t>使用</w:t>
      </w:r>
      <w:r>
        <w:rPr>
          <w:rFonts w:ascii="Times New Roman" w:eastAsia="楷体" w:hAnsi="Times New Roman"/>
        </w:rPr>
        <w:t xml:space="preserve">clean </w:t>
      </w:r>
      <w:r>
        <w:rPr>
          <w:rFonts w:ascii="Times New Roman" w:eastAsia="楷体" w:hAnsi="Times New Roman" w:hint="eastAsia"/>
        </w:rPr>
        <w:t>reads</w:t>
      </w:r>
      <w:r>
        <w:rPr>
          <w:rFonts w:ascii="Times New Roman" w:eastAsia="楷体" w:hAnsi="Times New Roman" w:hint="eastAsia"/>
        </w:rPr>
        <w:t>与宿主基因组</w:t>
      </w:r>
      <w:r w:rsidR="0057212E">
        <w:rPr>
          <w:rFonts w:ascii="Times New Roman" w:eastAsia="楷体" w:hAnsi="Times New Roman" w:hint="eastAsia"/>
        </w:rPr>
        <w:t>（默认：人）</w:t>
      </w:r>
      <w:r>
        <w:rPr>
          <w:rFonts w:ascii="Times New Roman" w:eastAsia="楷体" w:hAnsi="Times New Roman" w:hint="eastAsia"/>
        </w:rPr>
        <w:t>进行比对，输出未必对</w:t>
      </w:r>
      <w:r w:rsidR="00884CE4">
        <w:rPr>
          <w:rFonts w:ascii="Times New Roman" w:eastAsia="楷体" w:hAnsi="Times New Roman" w:hint="eastAsia"/>
        </w:rPr>
        <w:t>上的</w:t>
      </w:r>
      <w:r w:rsidR="00884CE4">
        <w:rPr>
          <w:rFonts w:ascii="Times New Roman" w:eastAsia="楷体" w:hAnsi="Times New Roman" w:hint="eastAsia"/>
        </w:rPr>
        <w:t>cle</w:t>
      </w:r>
      <w:r w:rsidR="00884CE4">
        <w:rPr>
          <w:rFonts w:ascii="Times New Roman" w:eastAsia="楷体" w:hAnsi="Times New Roman"/>
        </w:rPr>
        <w:t>an reads</w:t>
      </w:r>
    </w:p>
    <w:p w14:paraId="4248FE5A" w14:textId="77777777" w:rsidR="004B1E0A" w:rsidRPr="00EB6BD8" w:rsidRDefault="004B1E0A" w:rsidP="00F0794E">
      <w:pPr>
        <w:spacing w:line="360" w:lineRule="auto"/>
        <w:rPr>
          <w:rFonts w:ascii="Times New Roman" w:eastAsia="楷体" w:hAnsi="Times New Roman"/>
        </w:rPr>
      </w:pPr>
    </w:p>
    <w:p w14:paraId="58E5687F" w14:textId="7FE03142" w:rsidR="00115292" w:rsidRPr="004F3536" w:rsidRDefault="004F3536" w:rsidP="00F0794E">
      <w:p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3-1</w:t>
      </w:r>
      <w:r>
        <w:rPr>
          <w:rFonts w:ascii="Times New Roman" w:eastAsia="楷体" w:hAnsi="Times New Roman" w:hint="eastAsia"/>
        </w:rPr>
        <w:t>．</w:t>
      </w:r>
      <w:r w:rsidR="00EB6BD8" w:rsidRPr="004F3536">
        <w:rPr>
          <w:rFonts w:ascii="Times New Roman" w:eastAsia="楷体" w:hAnsi="Times New Roman" w:hint="eastAsia"/>
        </w:rPr>
        <w:t>基于测序</w:t>
      </w:r>
      <w:r w:rsidR="00EB6BD8" w:rsidRPr="004F3536">
        <w:rPr>
          <w:rFonts w:ascii="Times New Roman" w:eastAsia="楷体" w:hAnsi="Times New Roman"/>
        </w:rPr>
        <w:t>reads</w:t>
      </w:r>
      <w:r w:rsidR="00E24BF2" w:rsidRPr="004F3536">
        <w:rPr>
          <w:rFonts w:ascii="Times New Roman" w:eastAsia="楷体" w:hAnsi="Times New Roman" w:hint="eastAsia"/>
        </w:rPr>
        <w:t>的物种分类：</w:t>
      </w:r>
      <w:r w:rsidR="00E24BF2" w:rsidRPr="004F3536">
        <w:rPr>
          <w:rFonts w:ascii="Times New Roman" w:eastAsia="楷体" w:hAnsi="Times New Roman" w:hint="eastAsia"/>
          <w:b/>
          <w:bCs/>
        </w:rPr>
        <w:t>krak</w:t>
      </w:r>
      <w:r w:rsidR="00E24BF2" w:rsidRPr="004F3536">
        <w:rPr>
          <w:rFonts w:ascii="Times New Roman" w:eastAsia="楷体" w:hAnsi="Times New Roman"/>
          <w:b/>
          <w:bCs/>
        </w:rPr>
        <w:t>en2</w:t>
      </w:r>
    </w:p>
    <w:p w14:paraId="7656E755" w14:textId="77777777" w:rsidR="0057212E" w:rsidRDefault="00E24BF2" w:rsidP="00F0794E">
      <w:pPr>
        <w:spacing w:line="360" w:lineRule="auto"/>
        <w:ind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去除宿主后的</w:t>
      </w:r>
      <w:r>
        <w:rPr>
          <w:rFonts w:ascii="Times New Roman" w:eastAsia="楷体" w:hAnsi="Times New Roman"/>
        </w:rPr>
        <w:t>reads</w:t>
      </w:r>
      <w:r>
        <w:rPr>
          <w:rFonts w:ascii="Times New Roman" w:eastAsia="楷体" w:hAnsi="Times New Roman" w:hint="eastAsia"/>
        </w:rPr>
        <w:t>与</w:t>
      </w:r>
      <w:r>
        <w:rPr>
          <w:rFonts w:ascii="Times New Roman" w:eastAsia="楷体" w:hAnsi="Times New Roman" w:hint="eastAsia"/>
        </w:rPr>
        <w:t xml:space="preserve">NCBI </w:t>
      </w:r>
      <w:r>
        <w:rPr>
          <w:rFonts w:ascii="Times New Roman" w:eastAsia="楷体" w:hAnsi="Times New Roman"/>
        </w:rPr>
        <w:t>RefSeq</w:t>
      </w:r>
      <w:r>
        <w:rPr>
          <w:rFonts w:ascii="Times New Roman" w:eastAsia="楷体" w:hAnsi="Times New Roman" w:hint="eastAsia"/>
        </w:rPr>
        <w:t>（</w:t>
      </w:r>
      <w:r w:rsidRPr="00E24BF2">
        <w:rPr>
          <w:rFonts w:ascii="Times New Roman" w:eastAsia="楷体" w:hAnsi="Times New Roman"/>
        </w:rPr>
        <w:t>archaea, bacteria, viral, plasmid, human</w:t>
      </w:r>
    </w:p>
    <w:p w14:paraId="03A33B03" w14:textId="5C6052D7" w:rsidR="00E24BF2" w:rsidRDefault="00E24BF2" w:rsidP="00F0794E">
      <w:pPr>
        <w:spacing w:line="360" w:lineRule="auto"/>
        <w:rPr>
          <w:rFonts w:ascii="Times New Roman" w:eastAsia="楷体" w:hAnsi="Times New Roman"/>
        </w:rPr>
      </w:pPr>
      <w:r w:rsidRPr="00E24BF2">
        <w:rPr>
          <w:rFonts w:ascii="Times New Roman" w:eastAsia="楷体" w:hAnsi="Times New Roman"/>
        </w:rPr>
        <w:t>protozoa, fungi &amp; plant</w:t>
      </w:r>
      <w:r>
        <w:rPr>
          <w:rFonts w:ascii="Times New Roman" w:eastAsia="楷体" w:hAnsi="Times New Roman" w:hint="eastAsia"/>
        </w:rPr>
        <w:t>等）物种基因组数据库进行比对，根据比对上的</w:t>
      </w:r>
      <w:r>
        <w:rPr>
          <w:rFonts w:ascii="Times New Roman" w:eastAsia="楷体" w:hAnsi="Times New Roman"/>
        </w:rPr>
        <w:t>reads</w:t>
      </w:r>
      <w:r>
        <w:rPr>
          <w:rFonts w:ascii="Times New Roman" w:eastAsia="楷体" w:hAnsi="Times New Roman" w:hint="eastAsia"/>
        </w:rPr>
        <w:t>数目，来判定样本中可能包含的物种。</w:t>
      </w:r>
    </w:p>
    <w:p w14:paraId="4DB380C9" w14:textId="77777777" w:rsidR="004B1E0A" w:rsidRPr="00E24BF2" w:rsidRDefault="004B1E0A" w:rsidP="00F0794E">
      <w:pPr>
        <w:spacing w:line="360" w:lineRule="auto"/>
        <w:rPr>
          <w:rFonts w:ascii="Times New Roman" w:eastAsia="楷体" w:hAnsi="Times New Roman"/>
        </w:rPr>
      </w:pPr>
    </w:p>
    <w:p w14:paraId="75471424" w14:textId="32C130EE" w:rsidR="00115292" w:rsidRPr="004F3536" w:rsidRDefault="004F3536" w:rsidP="00F0794E">
      <w:pPr>
        <w:spacing w:line="360" w:lineRule="auto"/>
        <w:rPr>
          <w:rFonts w:ascii="Times New Roman" w:eastAsia="楷体" w:hAnsi="Times New Roman"/>
          <w:b/>
          <w:bCs/>
        </w:rPr>
      </w:pPr>
      <w:r>
        <w:rPr>
          <w:rFonts w:ascii="Times New Roman" w:eastAsia="楷体" w:hAnsi="Times New Roman" w:hint="eastAsia"/>
        </w:rPr>
        <w:t>3-2</w:t>
      </w:r>
      <w:r>
        <w:rPr>
          <w:rFonts w:ascii="Times New Roman" w:eastAsia="楷体" w:hAnsi="Times New Roman" w:hint="eastAsia"/>
        </w:rPr>
        <w:t>．</w:t>
      </w:r>
      <w:r w:rsidR="00E24BF2" w:rsidRPr="004F3536">
        <w:rPr>
          <w:rFonts w:ascii="Times New Roman" w:eastAsia="楷体" w:hAnsi="Times New Roman" w:hint="eastAsia"/>
        </w:rPr>
        <w:t>基于测序</w:t>
      </w:r>
      <w:r w:rsidR="00E24BF2" w:rsidRPr="004F3536">
        <w:rPr>
          <w:rFonts w:ascii="Times New Roman" w:eastAsia="楷体" w:hAnsi="Times New Roman"/>
        </w:rPr>
        <w:t>reads</w:t>
      </w:r>
      <w:r w:rsidR="00E24BF2" w:rsidRPr="004F3536">
        <w:rPr>
          <w:rFonts w:ascii="Times New Roman" w:eastAsia="楷体" w:hAnsi="Times New Roman" w:hint="eastAsia"/>
        </w:rPr>
        <w:t>的物种分类</w:t>
      </w:r>
      <w:r w:rsidR="004B1E0A" w:rsidRPr="004F3536">
        <w:rPr>
          <w:rFonts w:ascii="Times New Roman" w:eastAsia="楷体" w:hAnsi="Times New Roman" w:hint="eastAsia"/>
        </w:rPr>
        <w:t>：</w:t>
      </w:r>
      <w:r w:rsidR="00E24BF2" w:rsidRPr="004F3536">
        <w:rPr>
          <w:rFonts w:ascii="Times New Roman" w:eastAsia="楷体" w:hAnsi="Times New Roman"/>
          <w:b/>
          <w:bCs/>
        </w:rPr>
        <w:t>metaphlan</w:t>
      </w:r>
    </w:p>
    <w:p w14:paraId="62BB9993" w14:textId="03258C55" w:rsidR="004B1E0A" w:rsidRDefault="0048511E" w:rsidP="00F0794E">
      <w:pPr>
        <w:spacing w:line="360" w:lineRule="auto"/>
        <w:ind w:firstLine="420"/>
        <w:rPr>
          <w:rFonts w:ascii="Times New Roman" w:eastAsia="楷体" w:hAnsi="Times New Roman"/>
        </w:rPr>
      </w:pPr>
      <w:r w:rsidRPr="004B1E0A">
        <w:rPr>
          <w:rFonts w:ascii="Times New Roman" w:eastAsia="楷体" w:hAnsi="Times New Roman" w:hint="eastAsia"/>
        </w:rPr>
        <w:t>与</w:t>
      </w:r>
      <w:r w:rsidRPr="004B1E0A">
        <w:rPr>
          <w:rFonts w:ascii="Times New Roman" w:eastAsia="楷体" w:hAnsi="Times New Roman"/>
        </w:rPr>
        <w:t>kraken</w:t>
      </w:r>
      <w:r w:rsidRPr="004B1E0A">
        <w:rPr>
          <w:rFonts w:ascii="Times New Roman" w:eastAsia="楷体" w:hAnsi="Times New Roman" w:hint="eastAsia"/>
        </w:rPr>
        <w:t>2</w:t>
      </w:r>
      <w:r w:rsidRPr="004B1E0A">
        <w:rPr>
          <w:rFonts w:ascii="Times New Roman" w:eastAsia="楷体" w:hAnsi="Times New Roman" w:hint="eastAsia"/>
        </w:rPr>
        <w:t>分类方法不同，</w:t>
      </w:r>
      <w:r w:rsidRPr="004B1E0A">
        <w:rPr>
          <w:rFonts w:ascii="Times New Roman" w:eastAsia="楷体" w:hAnsi="Times New Roman"/>
        </w:rPr>
        <w:t>metaphlan</w:t>
      </w:r>
      <w:r w:rsidRPr="004B1E0A">
        <w:rPr>
          <w:rFonts w:ascii="Times New Roman" w:eastAsia="楷体" w:hAnsi="Times New Roman" w:hint="eastAsia"/>
        </w:rPr>
        <w:t>使用的参考数据库更多是具有分类意义的基因</w:t>
      </w:r>
      <w:r w:rsidRPr="004B1E0A">
        <w:rPr>
          <w:rFonts w:ascii="Times New Roman" w:eastAsia="楷体" w:hAnsi="Times New Roman"/>
        </w:rPr>
        <w:t>marker</w:t>
      </w:r>
      <w:r w:rsidR="00C70BB9">
        <w:rPr>
          <w:rFonts w:ascii="Times New Roman" w:eastAsia="楷体" w:hAnsi="Times New Roman" w:hint="eastAsia"/>
        </w:rPr>
        <w:t>组成</w:t>
      </w:r>
      <w:r w:rsidRPr="004B1E0A">
        <w:rPr>
          <w:rFonts w:ascii="Times New Roman" w:eastAsia="楷体" w:hAnsi="Times New Roman" w:hint="eastAsia"/>
        </w:rPr>
        <w:t>，</w:t>
      </w:r>
      <w:r w:rsidRPr="004B1E0A">
        <w:rPr>
          <w:rFonts w:ascii="Times New Roman" w:eastAsia="楷体" w:hAnsi="Times New Roman"/>
        </w:rPr>
        <w:t>relies on ~7.3M unique clade-specific marker genes (the latest marker information file can be found </w:t>
      </w:r>
      <w:hyperlink r:id="rId5" w:history="1">
        <w:r w:rsidRPr="004B1E0A">
          <w:rPr>
            <w:rStyle w:val="af2"/>
            <w:rFonts w:ascii="Times New Roman" w:eastAsia="楷体" w:hAnsi="Times New Roman"/>
          </w:rPr>
          <w:t>here</w:t>
        </w:r>
      </w:hyperlink>
      <w:r w:rsidRPr="004B1E0A">
        <w:rPr>
          <w:rFonts w:ascii="Times New Roman" w:eastAsia="楷体" w:hAnsi="Times New Roman"/>
        </w:rPr>
        <w:t>) identified from &gt;1.1M microbial genomes (&gt;150k isolate genomes and &gt;950k metagenome-assembled genomes) spanning 36,822 species-level genome bins 11,062 of them taxonomically unidentified at the species level (the full list of the species included in the latest database can be found </w:t>
      </w:r>
      <w:hyperlink r:id="rId6" w:history="1">
        <w:r w:rsidRPr="004B1E0A">
          <w:rPr>
            <w:rStyle w:val="af2"/>
            <w:rFonts w:ascii="Times New Roman" w:eastAsia="楷体" w:hAnsi="Times New Roman"/>
          </w:rPr>
          <w:t>here</w:t>
        </w:r>
      </w:hyperlink>
      <w:r w:rsidRPr="004B1E0A">
        <w:rPr>
          <w:rFonts w:ascii="Times New Roman" w:eastAsia="楷体" w:hAnsi="Times New Roman"/>
        </w:rPr>
        <w:t>).</w:t>
      </w:r>
    </w:p>
    <w:p w14:paraId="1E2BA730" w14:textId="77777777" w:rsidR="004B1E0A" w:rsidRDefault="004B1E0A" w:rsidP="00F0794E">
      <w:pPr>
        <w:spacing w:line="360" w:lineRule="auto"/>
        <w:rPr>
          <w:rFonts w:ascii="Times New Roman" w:eastAsia="楷体" w:hAnsi="Times New Roman"/>
        </w:rPr>
      </w:pPr>
    </w:p>
    <w:p w14:paraId="59A23580" w14:textId="77777777" w:rsidR="001F186B" w:rsidRDefault="001F186B" w:rsidP="00F0794E">
      <w:pPr>
        <w:spacing w:line="360" w:lineRule="auto"/>
        <w:rPr>
          <w:rFonts w:ascii="Times New Roman" w:eastAsia="楷体" w:hAnsi="Times New Roman"/>
        </w:rPr>
      </w:pPr>
    </w:p>
    <w:p w14:paraId="6720D578" w14:textId="77777777" w:rsidR="001F186B" w:rsidRPr="001F186B" w:rsidRDefault="001F186B" w:rsidP="00F0794E">
      <w:pPr>
        <w:spacing w:line="360" w:lineRule="auto"/>
        <w:rPr>
          <w:rFonts w:ascii="Times New Roman" w:eastAsia="楷体" w:hAnsi="Times New Roman"/>
        </w:rPr>
      </w:pPr>
    </w:p>
    <w:p w14:paraId="6AC41F4E" w14:textId="714990A6" w:rsidR="004B1E0A" w:rsidRPr="004F3536" w:rsidRDefault="004F3536" w:rsidP="00F0794E">
      <w:p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lastRenderedPageBreak/>
        <w:t>4</w:t>
      </w:r>
      <w:r>
        <w:rPr>
          <w:rFonts w:ascii="Times New Roman" w:eastAsia="楷体" w:hAnsi="Times New Roman" w:hint="eastAsia"/>
        </w:rPr>
        <w:t>．</w:t>
      </w:r>
      <w:r w:rsidR="00F168C9" w:rsidRPr="004F3536">
        <w:rPr>
          <w:rFonts w:ascii="Times New Roman" w:eastAsia="楷体" w:hAnsi="Times New Roman" w:hint="eastAsia"/>
        </w:rPr>
        <w:t>基因组组装：</w:t>
      </w:r>
      <w:r w:rsidR="007760EF" w:rsidRPr="004F3536">
        <w:rPr>
          <w:rFonts w:ascii="Times New Roman" w:eastAsia="楷体" w:hAnsi="Times New Roman"/>
          <w:b/>
          <w:bCs/>
        </w:rPr>
        <w:t>metaSPAdes</w:t>
      </w:r>
      <w:r w:rsidR="007760EF" w:rsidRPr="004F3536">
        <w:rPr>
          <w:rFonts w:ascii="Times New Roman" w:eastAsia="楷体" w:hAnsi="Times New Roman" w:hint="eastAsia"/>
          <w:b/>
          <w:bCs/>
        </w:rPr>
        <w:t>与</w:t>
      </w:r>
      <w:r w:rsidR="007760EF" w:rsidRPr="004F3536">
        <w:rPr>
          <w:rFonts w:ascii="Times New Roman" w:eastAsia="楷体" w:hAnsi="Times New Roman"/>
          <w:b/>
          <w:bCs/>
        </w:rPr>
        <w:t>MEGAHIT</w:t>
      </w:r>
    </w:p>
    <w:p w14:paraId="3573C50F" w14:textId="426A8D51" w:rsidR="007760EF" w:rsidRDefault="007760EF" w:rsidP="00F0794E">
      <w:pPr>
        <w:spacing w:line="360" w:lineRule="auto"/>
        <w:ind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目前基于宏基因组测序的基因组拼接算法有很多，引用来自权威文献的比较结果，我们分别最终选择，</w:t>
      </w:r>
      <w:r w:rsidRPr="007021F9">
        <w:rPr>
          <w:rFonts w:ascii="Times New Roman" w:eastAsia="楷体" w:hAnsi="Times New Roman"/>
          <w:b/>
          <w:bCs/>
        </w:rPr>
        <w:t>metaSPAdes</w:t>
      </w:r>
      <w:r w:rsidRPr="007760EF">
        <w:rPr>
          <w:rFonts w:ascii="Times New Roman" w:eastAsia="楷体" w:hAnsi="Times New Roman" w:hint="eastAsia"/>
        </w:rPr>
        <w:t>对单一样本进行组装拼接；</w:t>
      </w:r>
      <w:r w:rsidRPr="007021F9">
        <w:rPr>
          <w:rFonts w:ascii="Times New Roman" w:eastAsia="楷体" w:hAnsi="Times New Roman"/>
          <w:b/>
          <w:bCs/>
        </w:rPr>
        <w:t>MEGAHIT</w:t>
      </w:r>
      <w:r w:rsidRPr="007760EF">
        <w:rPr>
          <w:rFonts w:ascii="Times New Roman" w:eastAsia="楷体" w:hAnsi="Times New Roman" w:hint="eastAsia"/>
        </w:rPr>
        <w:t>如果涉及到同一类型多个样本，选择</w:t>
      </w:r>
      <w:r w:rsidRPr="007021F9">
        <w:rPr>
          <w:rFonts w:ascii="Times New Roman" w:eastAsia="楷体" w:hAnsi="Times New Roman"/>
          <w:b/>
          <w:bCs/>
        </w:rPr>
        <w:t>MEGAHIT</w:t>
      </w:r>
      <w:r w:rsidRPr="007760EF">
        <w:rPr>
          <w:rFonts w:ascii="Times New Roman" w:eastAsia="楷体" w:hAnsi="Times New Roman" w:hint="eastAsia"/>
        </w:rPr>
        <w:t>进行多样本合并组装拼接。</w:t>
      </w:r>
      <w:r w:rsidR="004F3536">
        <w:rPr>
          <w:rFonts w:ascii="Times New Roman" w:eastAsia="楷体" w:hAnsi="Times New Roman" w:hint="eastAsia"/>
        </w:rPr>
        <w:t>并通过</w:t>
      </w:r>
      <w:r w:rsidR="00921B0E" w:rsidRPr="007021F9">
        <w:rPr>
          <w:rFonts w:ascii="Times New Roman" w:eastAsia="楷体" w:hAnsi="Times New Roman"/>
          <w:b/>
          <w:bCs/>
        </w:rPr>
        <w:t>MetaQUAST</w:t>
      </w:r>
      <w:r w:rsidR="00921B0E">
        <w:rPr>
          <w:rFonts w:ascii="Times New Roman" w:eastAsia="楷体" w:hAnsi="Times New Roman" w:hint="eastAsia"/>
        </w:rPr>
        <w:t>对组装结果进行评估。</w:t>
      </w:r>
    </w:p>
    <w:p w14:paraId="6FA81FDB" w14:textId="1FDB17C3" w:rsidR="00A55301" w:rsidRPr="00A55301" w:rsidRDefault="00A55301" w:rsidP="00F0794E">
      <w:pPr>
        <w:pStyle w:val="a9"/>
        <w:numPr>
          <w:ilvl w:val="0"/>
          <w:numId w:val="10"/>
        </w:numPr>
        <w:spacing w:line="360" w:lineRule="auto"/>
        <w:rPr>
          <w:rFonts w:ascii="Times New Roman" w:eastAsia="楷体" w:hAnsi="Times New Roman"/>
          <w:i/>
          <w:iCs/>
        </w:rPr>
      </w:pPr>
      <w:r w:rsidRPr="00A55301">
        <w:rPr>
          <w:rFonts w:ascii="Times New Roman" w:eastAsia="楷体" w:hAnsi="Times New Roman"/>
          <w:i/>
          <w:iCs/>
        </w:rPr>
        <w:t>Breitwieser F P, Lu J, Salzberg S L. A review of methods and databases for metagenomic classification and assembly[J]. Briefings in bioinformatics, 2019, 20(4): 1125-1136.</w:t>
      </w:r>
    </w:p>
    <w:p w14:paraId="754119E5" w14:textId="7A09C85F" w:rsidR="00921B0E" w:rsidRPr="00A55301" w:rsidRDefault="00A55301" w:rsidP="00F0794E">
      <w:pPr>
        <w:pStyle w:val="a9"/>
        <w:numPr>
          <w:ilvl w:val="0"/>
          <w:numId w:val="10"/>
        </w:numPr>
        <w:spacing w:line="360" w:lineRule="auto"/>
        <w:rPr>
          <w:rFonts w:ascii="Times New Roman" w:eastAsia="楷体" w:hAnsi="Times New Roman"/>
          <w:i/>
          <w:iCs/>
        </w:rPr>
      </w:pPr>
      <w:r w:rsidRPr="00A55301">
        <w:rPr>
          <w:rFonts w:ascii="Times New Roman" w:eastAsia="楷体" w:hAnsi="Times New Roman"/>
          <w:i/>
          <w:iCs/>
        </w:rPr>
        <w:t>Zhang Z, Yang C, Veldsman W P, et al. Benchmarking genome assembly methods on metagenomic sequencing data[J]. Briefings in Bioinformatics, 2023, 24(2): bbad087.</w:t>
      </w:r>
    </w:p>
    <w:p w14:paraId="441E2DE4" w14:textId="77777777" w:rsidR="00921B0E" w:rsidRDefault="00921B0E" w:rsidP="00F0794E">
      <w:pPr>
        <w:spacing w:line="360" w:lineRule="auto"/>
        <w:rPr>
          <w:rFonts w:ascii="Times New Roman" w:eastAsia="楷体" w:hAnsi="Times New Roman"/>
        </w:rPr>
      </w:pPr>
    </w:p>
    <w:p w14:paraId="15E3D489" w14:textId="5871A8A9" w:rsidR="00965AC1" w:rsidRDefault="00434491" w:rsidP="00F0794E">
      <w:p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5</w:t>
      </w:r>
      <w:r>
        <w:rPr>
          <w:rFonts w:ascii="Times New Roman" w:eastAsia="楷体" w:hAnsi="Times New Roman" w:hint="eastAsia"/>
        </w:rPr>
        <w:t>．编码基因序列预测：</w:t>
      </w:r>
      <w:r w:rsidRPr="00434491">
        <w:rPr>
          <w:rFonts w:ascii="Times New Roman" w:eastAsia="楷体" w:hAnsi="Times New Roman"/>
          <w:b/>
          <w:bCs/>
        </w:rPr>
        <w:t>Prodigal</w:t>
      </w:r>
    </w:p>
    <w:p w14:paraId="532F8674" w14:textId="570C17C4" w:rsidR="00434491" w:rsidRDefault="00434491" w:rsidP="00F0794E">
      <w:pPr>
        <w:spacing w:line="360" w:lineRule="auto"/>
        <w:rPr>
          <w:rFonts w:ascii="Times New Roman" w:eastAsia="楷体" w:hAnsi="Times New Roman"/>
        </w:rPr>
      </w:pPr>
    </w:p>
    <w:p w14:paraId="453F25CE" w14:textId="227BC11B" w:rsidR="001754DB" w:rsidRPr="001754DB" w:rsidRDefault="001754DB" w:rsidP="00F0794E">
      <w:pPr>
        <w:widowControl/>
        <w:spacing w:line="360" w:lineRule="auto"/>
        <w:rPr>
          <w:rFonts w:ascii="Times New Roman" w:eastAsia="DengXi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</w:pPr>
      <w:r>
        <w:rPr>
          <w:rFonts w:ascii="Times New Roman" w:eastAsia="楷体" w:hAnsi="Times New Roman" w:hint="eastAsia"/>
        </w:rPr>
        <w:t>6.</w:t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耐药基因序列片段预测</w:t>
      </w:r>
      <w:r>
        <w:rPr>
          <w:rFonts w:ascii="Times New Roman" w:eastAsia="楷体" w:hAnsi="Times New Roman"/>
        </w:rPr>
        <w:t>:</w:t>
      </w:r>
      <w:r w:rsidRPr="001754DB">
        <w:rPr>
          <w:rFonts w:ascii="Times New Roman" w:eastAsia="DengXian" w:hAnsi="Times New Roman" w:cs="Times New Roman"/>
          <w:b/>
          <w:bCs/>
          <w:color w:val="1F2328"/>
          <w:sz w:val="26"/>
          <w:szCs w:val="26"/>
        </w:rPr>
        <w:t xml:space="preserve"> </w:t>
      </w:r>
      <w:r w:rsidRPr="001754DB">
        <w:rPr>
          <w:rFonts w:ascii="Times New Roman" w:eastAsia="DengXi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  <w:t>staramr</w:t>
      </w:r>
      <w:r w:rsidR="00CC54D6">
        <w:rPr>
          <w:rFonts w:ascii="Times New Roman" w:eastAsia="DengXian" w:hAnsi="Times New Roman" w:cs="Times New Roman" w:hint="eastAsia"/>
          <w:b/>
          <w:bCs/>
          <w:color w:val="1F2328"/>
          <w:kern w:val="0"/>
          <w:sz w:val="26"/>
          <w:szCs w:val="26"/>
          <w14:ligatures w14:val="none"/>
        </w:rPr>
        <w:t xml:space="preserve"> &amp; </w:t>
      </w:r>
      <w:r w:rsidR="00CC54D6">
        <w:rPr>
          <w:rFonts w:ascii="Times New Roman" w:eastAsia="DengXi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  <w:t>CARD</w:t>
      </w:r>
    </w:p>
    <w:p w14:paraId="204043AD" w14:textId="1BE4DCB5" w:rsidR="00CC54D6" w:rsidRDefault="00CC54D6" w:rsidP="00F0794E">
      <w:p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耐药基因的数据分析，采用</w:t>
      </w:r>
      <w:r>
        <w:rPr>
          <w:rFonts w:ascii="Times New Roman" w:eastAsia="楷体" w:hAnsi="Times New Roman" w:hint="eastAsia"/>
        </w:rPr>
        <w:t>2</w:t>
      </w:r>
      <w:r>
        <w:rPr>
          <w:rFonts w:ascii="Times New Roman" w:eastAsia="楷体" w:hAnsi="Times New Roman" w:hint="eastAsia"/>
        </w:rPr>
        <w:t>种不同的方式：</w:t>
      </w:r>
      <w:r>
        <w:rPr>
          <w:rFonts w:ascii="Times New Roman" w:eastAsia="楷体" w:hAnsi="Times New Roman"/>
        </w:rPr>
        <w:t>a)</w:t>
      </w:r>
      <w:r>
        <w:rPr>
          <w:rFonts w:ascii="Times New Roman" w:eastAsia="楷体" w:hAnsi="Times New Roman" w:hint="eastAsia"/>
        </w:rPr>
        <w:t>基于测序</w:t>
      </w:r>
      <w:r>
        <w:rPr>
          <w:rFonts w:ascii="Times New Roman" w:eastAsia="楷体" w:hAnsi="Times New Roman"/>
        </w:rPr>
        <w:t>reads</w:t>
      </w:r>
      <w:r>
        <w:rPr>
          <w:rFonts w:ascii="Times New Roman" w:eastAsia="楷体" w:hAnsi="Times New Roman" w:hint="eastAsia"/>
        </w:rPr>
        <w:t>比对的方式，这里我们使用的是</w:t>
      </w:r>
      <w:r>
        <w:rPr>
          <w:rFonts w:ascii="Times New Roman" w:eastAsia="楷体" w:hAnsi="Times New Roman" w:hint="eastAsia"/>
        </w:rPr>
        <w:t>CARD</w:t>
      </w:r>
      <w:r>
        <w:rPr>
          <w:rFonts w:ascii="Times New Roman" w:eastAsia="楷体" w:hAnsi="Times New Roman" w:hint="eastAsia"/>
        </w:rPr>
        <w:t>数据库；</w:t>
      </w:r>
      <w:r>
        <w:rPr>
          <w:rFonts w:ascii="Times New Roman" w:eastAsia="楷体" w:hAnsi="Times New Roman"/>
        </w:rPr>
        <w:t>b)</w:t>
      </w:r>
      <w:r>
        <w:rPr>
          <w:rFonts w:ascii="Times New Roman" w:eastAsia="楷体" w:hAnsi="Times New Roman" w:hint="eastAsia"/>
        </w:rPr>
        <w:t>当采用双端测序，且样本在质控与去过宿主后数据量（</w:t>
      </w:r>
      <w:r>
        <w:rPr>
          <w:rFonts w:ascii="Times New Roman" w:eastAsia="楷体" w:hAnsi="Times New Roman"/>
        </w:rPr>
        <w:t>&gt;0.5M</w:t>
      </w:r>
      <w:r>
        <w:rPr>
          <w:rFonts w:ascii="Times New Roman" w:eastAsia="楷体" w:hAnsi="Times New Roman" w:hint="eastAsia"/>
        </w:rPr>
        <w:t>）时</w:t>
      </w:r>
      <w:r>
        <w:rPr>
          <w:rFonts w:ascii="Times New Roman" w:eastAsia="楷体" w:hAnsi="Times New Roman"/>
        </w:rPr>
        <w:t>,</w:t>
      </w:r>
      <w:r>
        <w:rPr>
          <w:rFonts w:ascii="Times New Roman" w:eastAsia="楷体" w:hAnsi="Times New Roman" w:hint="eastAsia"/>
        </w:rPr>
        <w:t>使用</w:t>
      </w:r>
      <w:r w:rsidRPr="00CC54D6">
        <w:rPr>
          <w:rFonts w:ascii="Times New Roman" w:eastAsia="楷体" w:hAnsi="Times New Roman"/>
        </w:rPr>
        <w:t>staramr</w:t>
      </w:r>
      <w:r>
        <w:rPr>
          <w:rFonts w:ascii="Times New Roman" w:eastAsia="楷体" w:hAnsi="Times New Roman" w:hint="eastAsia"/>
        </w:rPr>
        <w:t>基于拼接的基因组片段序列进行耐药基因分析</w:t>
      </w:r>
      <w:r w:rsidRPr="00CC54D6">
        <w:rPr>
          <w:rFonts w:ascii="Times New Roman" w:eastAsia="楷体" w:hAnsi="Times New Roman" w:hint="eastAsia"/>
        </w:rPr>
        <w:t>。</w:t>
      </w:r>
    </w:p>
    <w:p w14:paraId="60478ECF" w14:textId="1EE39FDD" w:rsidR="001754DB" w:rsidRDefault="001754DB" w:rsidP="00F0794E">
      <w:p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>7.</w:t>
      </w: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毒力基因预测：</w:t>
      </w:r>
      <w:r w:rsidRPr="001754DB">
        <w:rPr>
          <w:rFonts w:ascii="Times New Roman" w:eastAsia="楷体" w:hAnsi="Times New Roman"/>
          <w:b/>
          <w:bCs/>
        </w:rPr>
        <w:t>VFDB</w:t>
      </w:r>
    </w:p>
    <w:p w14:paraId="052A1019" w14:textId="2373A66A" w:rsidR="00434491" w:rsidRDefault="001754DB" w:rsidP="00F0794E">
      <w:p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将步骤</w:t>
      </w:r>
      <w:r>
        <w:rPr>
          <w:rFonts w:ascii="Times New Roman" w:eastAsia="楷体" w:hAnsi="Times New Roman" w:hint="eastAsia"/>
        </w:rPr>
        <w:t>5</w:t>
      </w:r>
      <w:r>
        <w:rPr>
          <w:rFonts w:ascii="Times New Roman" w:eastAsia="楷体" w:hAnsi="Times New Roman" w:hint="eastAsia"/>
        </w:rPr>
        <w:t>中预测获得的编码序列，借助</w:t>
      </w:r>
      <w:r w:rsidRPr="007021F9">
        <w:rPr>
          <w:rFonts w:ascii="Times New Roman" w:eastAsia="楷体" w:hAnsi="Times New Roman"/>
          <w:b/>
          <w:bCs/>
        </w:rPr>
        <w:t>BLASTP</w:t>
      </w:r>
      <w:r>
        <w:rPr>
          <w:rFonts w:ascii="Times New Roman" w:eastAsia="楷体" w:hAnsi="Times New Roman" w:hint="eastAsia"/>
        </w:rPr>
        <w:t>与毒力基因蛋白质数据库进行比对，输出样本中肯能包含的毒力因子信息。</w:t>
      </w:r>
    </w:p>
    <w:p w14:paraId="6B7655B7" w14:textId="6D48645C" w:rsidR="00A71B00" w:rsidRDefault="00A71B00" w:rsidP="00F0794E">
      <w:p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>==================================================================</w:t>
      </w:r>
    </w:p>
    <w:p w14:paraId="653D868B" w14:textId="77DB18A4" w:rsidR="001F186B" w:rsidRDefault="001F186B" w:rsidP="00452902">
      <w:pPr>
        <w:spacing w:line="360" w:lineRule="auto"/>
        <w:jc w:val="center"/>
        <w:rPr>
          <w:rFonts w:ascii="Times New Roman" w:eastAsia="楷体" w:hAnsi="Times New Roman"/>
        </w:rPr>
      </w:pPr>
    </w:p>
    <w:p w14:paraId="74672485" w14:textId="4F7FA510" w:rsidR="00965AC1" w:rsidRPr="001F186B" w:rsidRDefault="001754DB" w:rsidP="001F186B">
      <w:pPr>
        <w:pStyle w:val="a9"/>
        <w:widowControl/>
        <w:numPr>
          <w:ilvl w:val="0"/>
          <w:numId w:val="12"/>
        </w:numPr>
        <w:spacing w:line="360" w:lineRule="auto"/>
        <w:rPr>
          <w:rFonts w:ascii="Times New Roman" w:eastAsia="DengXi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</w:pPr>
      <w:r w:rsidRPr="001F186B">
        <w:rPr>
          <w:rFonts w:ascii="Times New Roman" w:eastAsia="楷体" w:hAnsi="Times New Roman" w:hint="eastAsia"/>
        </w:rPr>
        <w:t>宏基因组</w:t>
      </w:r>
      <w:r w:rsidRPr="001F186B">
        <w:rPr>
          <w:rFonts w:ascii="Times New Roman" w:eastAsia="楷体" w:hAnsi="Times New Roman" w:hint="eastAsia"/>
        </w:rPr>
        <w:t>binning</w:t>
      </w:r>
    </w:p>
    <w:p w14:paraId="2A4A62A3" w14:textId="77777777" w:rsidR="008323A4" w:rsidRDefault="001754DB" w:rsidP="00F0794E">
      <w:p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在完成步骤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的基因组组装后，我们会得到一些较大的序列片段</w:t>
      </w:r>
      <w:r>
        <w:rPr>
          <w:rFonts w:ascii="Times New Roman" w:eastAsia="楷体" w:hAnsi="Times New Roman"/>
        </w:rPr>
        <w:t xml:space="preserve">(contig or </w:t>
      </w:r>
      <w:r>
        <w:rPr>
          <w:rFonts w:ascii="Times New Roman" w:eastAsia="楷体" w:hAnsi="Times New Roman" w:hint="eastAsia"/>
        </w:rPr>
        <w:t>sc</w:t>
      </w:r>
      <w:r>
        <w:rPr>
          <w:rFonts w:ascii="Times New Roman" w:eastAsia="楷体" w:hAnsi="Times New Roman"/>
        </w:rPr>
        <w:t>affold)</w:t>
      </w:r>
      <w:r>
        <w:rPr>
          <w:rFonts w:ascii="Times New Roman" w:eastAsia="楷体" w:hAnsi="Times New Roman" w:hint="eastAsia"/>
        </w:rPr>
        <w:t>序列，</w:t>
      </w:r>
      <w:r w:rsidR="008F319D">
        <w:rPr>
          <w:rFonts w:ascii="Times New Roman" w:eastAsia="楷体" w:hAnsi="Times New Roman" w:hint="eastAsia"/>
        </w:rPr>
        <w:t>下一步我们需要对肯能来自同一物种的序列进行分类，这一过程可以简称为</w:t>
      </w:r>
      <w:r w:rsidR="008F319D">
        <w:rPr>
          <w:rFonts w:ascii="Times New Roman" w:eastAsia="楷体" w:hAnsi="Times New Roman"/>
        </w:rPr>
        <w:t>:binning.</w:t>
      </w:r>
    </w:p>
    <w:p w14:paraId="66D18831" w14:textId="25E66768" w:rsidR="008323A4" w:rsidRPr="008323A4" w:rsidRDefault="008323A4" w:rsidP="00F0794E">
      <w:pPr>
        <w:spacing w:line="360" w:lineRule="auto"/>
        <w:ind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lastRenderedPageBreak/>
        <w:t>本流程参考宏基因组研究文章，我们选取了三种</w:t>
      </w:r>
      <w:r>
        <w:rPr>
          <w:rFonts w:ascii="Times New Roman" w:eastAsia="楷体" w:hAnsi="Times New Roman"/>
        </w:rPr>
        <w:t>binning</w:t>
      </w:r>
      <w:r>
        <w:rPr>
          <w:rFonts w:ascii="Times New Roman" w:eastAsia="楷体" w:hAnsi="Times New Roman" w:hint="eastAsia"/>
        </w:rPr>
        <w:t>分析算法</w:t>
      </w:r>
      <w:r w:rsidR="001C2D35">
        <w:rPr>
          <w:rFonts w:ascii="Times New Roman" w:eastAsia="楷体" w:hAnsi="Times New Roman" w:hint="eastAsia"/>
        </w:rPr>
        <w:t>：</w:t>
      </w:r>
      <w:r w:rsidR="001C2D35" w:rsidRPr="002A2127">
        <w:rPr>
          <w:rFonts w:ascii="Times New Roman" w:eastAsia="DengXi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  <w:t>metaBAT2, MaxBin2, CONCOCT</w:t>
      </w:r>
      <w:r>
        <w:rPr>
          <w:rFonts w:ascii="Times New Roman" w:eastAsia="楷体" w:hAnsi="Times New Roman" w:hint="eastAsia"/>
        </w:rPr>
        <w:t>，然后使用</w:t>
      </w:r>
      <w:r w:rsidRPr="008323A4">
        <w:rPr>
          <w:rFonts w:ascii="Times New Roman" w:eastAsia="楷体" w:hAnsi="Times New Roman" w:hint="eastAsia"/>
          <w:b/>
          <w:bCs/>
        </w:rPr>
        <w:t>m</w:t>
      </w:r>
      <w:r w:rsidRPr="008323A4">
        <w:rPr>
          <w:rFonts w:ascii="Times New Roman" w:eastAsia="楷体" w:hAnsi="Times New Roman"/>
          <w:b/>
          <w:bCs/>
        </w:rPr>
        <w:t>etaWRAP</w:t>
      </w:r>
      <w:r w:rsidRPr="008323A4">
        <w:rPr>
          <w:rFonts w:ascii="Times New Roman" w:eastAsia="楷体" w:hAnsi="Times New Roman" w:hint="eastAsia"/>
        </w:rPr>
        <w:t>算法</w:t>
      </w:r>
      <w:r>
        <w:rPr>
          <w:rFonts w:ascii="Times New Roman" w:eastAsia="楷体" w:hAnsi="Times New Roman" w:hint="eastAsia"/>
        </w:rPr>
        <w:t>将结果整合，以期得到最佳结果。</w:t>
      </w:r>
    </w:p>
    <w:p w14:paraId="4F80F66F" w14:textId="1D942675" w:rsidR="001754DB" w:rsidRPr="001F186B" w:rsidRDefault="008323A4" w:rsidP="00F0794E">
      <w:pPr>
        <w:pStyle w:val="a9"/>
        <w:numPr>
          <w:ilvl w:val="0"/>
          <w:numId w:val="9"/>
        </w:numPr>
        <w:spacing w:line="360" w:lineRule="auto"/>
        <w:rPr>
          <w:rFonts w:ascii="Times New Roman" w:eastAsia="楷体" w:hAnsi="Times New Roman"/>
          <w:i/>
          <w:iCs/>
        </w:rPr>
      </w:pPr>
      <w:r w:rsidRPr="00A35E4F">
        <w:rPr>
          <w:rFonts w:ascii="Times New Roman" w:eastAsia="楷体" w:hAnsi="Times New Roman"/>
          <w:i/>
          <w:iCs/>
        </w:rPr>
        <w:t>Banerjee G, Papri S R, Banerjee P. Protocol for the construction and functional profiling of metagenome-assembled genomes for microbiome analyses[J]. STAR protocols, 2024, 5(3): 103167.</w:t>
      </w:r>
    </w:p>
    <w:p w14:paraId="7FD41648" w14:textId="79B299AD" w:rsidR="008F319D" w:rsidRPr="00426C89" w:rsidRDefault="008F319D" w:rsidP="00F0794E">
      <w:pPr>
        <w:widowControl/>
        <w:spacing w:line="360" w:lineRule="auto"/>
        <w:rPr>
          <w:rFonts w:ascii="Times New Roman" w:eastAsia="DengXi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</w:pPr>
      <w:r>
        <w:rPr>
          <w:rFonts w:ascii="Times New Roman" w:eastAsia="楷体" w:hAnsi="Times New Roman"/>
        </w:rPr>
        <w:t>9.</w:t>
      </w:r>
      <w:r>
        <w:rPr>
          <w:rFonts w:ascii="Times New Roman" w:eastAsia="楷体" w:hAnsi="Times New Roman"/>
        </w:rPr>
        <w:tab/>
      </w:r>
      <w:r w:rsidR="00895C93">
        <w:rPr>
          <w:rFonts w:ascii="Times New Roman" w:eastAsia="楷体" w:hAnsi="Times New Roman" w:hint="eastAsia"/>
        </w:rPr>
        <w:t>单一</w:t>
      </w:r>
      <w:r w:rsidR="00895C93">
        <w:rPr>
          <w:rFonts w:ascii="Times New Roman" w:eastAsia="楷体" w:hAnsi="Times New Roman" w:hint="eastAsia"/>
        </w:rPr>
        <w:t>bi</w:t>
      </w:r>
      <w:r w:rsidR="00895C93">
        <w:rPr>
          <w:rFonts w:ascii="Times New Roman" w:eastAsia="楷体" w:hAnsi="Times New Roman"/>
        </w:rPr>
        <w:t>ning</w:t>
      </w:r>
      <w:r>
        <w:rPr>
          <w:rFonts w:ascii="Times New Roman" w:eastAsia="楷体" w:hAnsi="Times New Roman" w:hint="eastAsia"/>
        </w:rPr>
        <w:t>完整性评估</w:t>
      </w:r>
      <w:r w:rsidR="00426C89">
        <w:rPr>
          <w:rFonts w:ascii="Times New Roman" w:eastAsia="楷体" w:hAnsi="Times New Roman" w:hint="eastAsia"/>
        </w:rPr>
        <w:t>：</w:t>
      </w:r>
      <w:r w:rsidR="00426C89" w:rsidRPr="00426C89">
        <w:rPr>
          <w:rFonts w:ascii="Times New Roman" w:eastAsia="DengXi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  <w:t>Check</w:t>
      </w:r>
      <w:r w:rsidR="00426C89">
        <w:rPr>
          <w:rFonts w:ascii="Times New Roman" w:eastAsia="DengXian" w:hAnsi="Times New Roman" w:cs="Times New Roman" w:hint="eastAsia"/>
          <w:b/>
          <w:bCs/>
          <w:color w:val="1F2328"/>
          <w:kern w:val="0"/>
          <w:sz w:val="26"/>
          <w:szCs w:val="26"/>
          <w14:ligatures w14:val="none"/>
        </w:rPr>
        <w:t>M</w:t>
      </w:r>
    </w:p>
    <w:p w14:paraId="39641619" w14:textId="1897F24B" w:rsidR="00F36B9A" w:rsidRDefault="008F319D" w:rsidP="00F0794E">
      <w:pPr>
        <w:spacing w:line="360" w:lineRule="auto"/>
        <w:rPr>
          <w:rFonts w:ascii="Times New Roman" w:eastAsia="楷体" w:hAnsi="Times New Roman"/>
        </w:rPr>
      </w:pPr>
      <w:r>
        <w:rPr>
          <w:rFonts w:ascii="Times New Roman" w:eastAsia="楷体" w:hAnsi="Times New Roman"/>
        </w:rPr>
        <w:tab/>
      </w:r>
      <w:r>
        <w:rPr>
          <w:rFonts w:ascii="Times New Roman" w:eastAsia="楷体" w:hAnsi="Times New Roman" w:hint="eastAsia"/>
        </w:rPr>
        <w:t>对每一个</w:t>
      </w:r>
      <w:r>
        <w:rPr>
          <w:rFonts w:ascii="Times New Roman" w:eastAsia="楷体" w:hAnsi="Times New Roman"/>
        </w:rPr>
        <w:t>binning</w:t>
      </w:r>
      <w:r>
        <w:rPr>
          <w:rFonts w:ascii="Times New Roman" w:eastAsia="楷体" w:hAnsi="Times New Roman" w:hint="eastAsia"/>
        </w:rPr>
        <w:t>进行完整性评估，一般评价指标</w:t>
      </w:r>
      <w:r w:rsidR="00F36B9A" w:rsidRPr="008F319D">
        <w:rPr>
          <w:rFonts w:ascii="Times New Roman" w:eastAsia="楷体" w:hAnsi="Times New Roman"/>
        </w:rPr>
        <w:t>completeness (&gt; 90%) and contamination (&lt; 5%) for high-quality drafts of MAGs (metagenome-assembled genomes) </w:t>
      </w:r>
      <w:r>
        <w:rPr>
          <w:rFonts w:ascii="Times New Roman" w:eastAsia="楷体" w:hAnsi="Times New Roman" w:hint="eastAsia"/>
        </w:rPr>
        <w:t>，则可认为是比较好的基因组序列。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5"/>
        <w:gridCol w:w="6311"/>
      </w:tblGrid>
      <w:tr w:rsidR="00BB256A" w14:paraId="429A08A2" w14:textId="77777777" w:rsidTr="00BB256A"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05A692" w14:textId="037015FB" w:rsidR="00BB256A" w:rsidRDefault="00BB256A" w:rsidP="00F0794E">
            <w:pPr>
              <w:spacing w:line="360" w:lineRule="auto"/>
              <w:rPr>
                <w:rFonts w:ascii="Times New Roman" w:eastAsia="楷体" w:hAnsi="Times New Roman"/>
              </w:rPr>
            </w:pPr>
            <w:r w:rsidRPr="00BB256A">
              <w:rPr>
                <w:rFonts w:ascii="Times New Roman" w:eastAsia="楷体" w:hAnsi="Times New Roman"/>
              </w:rPr>
              <w:t>Criterion</w:t>
            </w:r>
          </w:p>
        </w:tc>
        <w:tc>
          <w:tcPr>
            <w:tcW w:w="63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D3E8E3" w14:textId="4D6B3647" w:rsidR="00BB256A" w:rsidRDefault="00BB256A" w:rsidP="00F0794E">
            <w:pPr>
              <w:spacing w:line="360" w:lineRule="auto"/>
              <w:rPr>
                <w:rFonts w:ascii="Times New Roman" w:eastAsia="楷体" w:hAnsi="Times New Roman"/>
              </w:rPr>
            </w:pPr>
            <w:r w:rsidRPr="00BB256A">
              <w:rPr>
                <w:rFonts w:ascii="Times New Roman" w:eastAsia="楷体" w:hAnsi="Times New Roman"/>
              </w:rPr>
              <w:t>Description</w:t>
            </w:r>
          </w:p>
        </w:tc>
      </w:tr>
      <w:tr w:rsidR="00BB256A" w14:paraId="315ADAD4" w14:textId="77777777" w:rsidTr="00BB256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4A0339" w14:textId="1DFFED24" w:rsidR="00BB256A" w:rsidRDefault="00BB256A" w:rsidP="00F0794E">
            <w:pPr>
              <w:spacing w:line="360" w:lineRule="auto"/>
              <w:rPr>
                <w:rFonts w:ascii="Times New Roman" w:eastAsia="楷体" w:hAnsi="Times New Roman"/>
              </w:rPr>
            </w:pPr>
            <w:r w:rsidRPr="00BB256A">
              <w:rPr>
                <w:rFonts w:ascii="Times New Roman" w:eastAsia="楷体" w:hAnsi="Times New Roman"/>
              </w:rPr>
              <w:t>High-quality</w:t>
            </w:r>
          </w:p>
        </w:tc>
        <w:tc>
          <w:tcPr>
            <w:tcW w:w="63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6A6969" w14:textId="3475BD07" w:rsidR="00BB256A" w:rsidRDefault="00BB256A" w:rsidP="00F0794E">
            <w:pPr>
              <w:spacing w:line="360" w:lineRule="auto"/>
              <w:rPr>
                <w:rFonts w:ascii="Times New Roman" w:eastAsia="楷体" w:hAnsi="Times New Roman"/>
              </w:rPr>
            </w:pPr>
            <w:r w:rsidRPr="00BB256A">
              <w:rPr>
                <w:rFonts w:ascii="Times New Roman" w:eastAsia="楷体" w:hAnsi="Times New Roman"/>
              </w:rPr>
              <w:t>Completeness &gt; 90%</w:t>
            </w:r>
            <w:r>
              <w:rPr>
                <w:rFonts w:ascii="Times New Roman" w:eastAsia="楷体" w:hAnsi="Times New Roman"/>
              </w:rPr>
              <w:t>,</w:t>
            </w:r>
            <w:r w:rsidRPr="00BB256A">
              <w:rPr>
                <w:rFonts w:ascii="Times New Roman" w:eastAsia="楷体" w:hAnsi="Times New Roman"/>
              </w:rPr>
              <w:t xml:space="preserve"> Contamination &lt; 5</w:t>
            </w:r>
            <w:r w:rsidR="00F63843" w:rsidRPr="00BB256A">
              <w:rPr>
                <w:rFonts w:ascii="Times New Roman" w:eastAsia="楷体" w:hAnsi="Times New Roman"/>
              </w:rPr>
              <w:t>%</w:t>
            </w:r>
            <w:r w:rsidR="00F63843">
              <w:rPr>
                <w:rFonts w:ascii="Times New Roman" w:eastAsia="楷体" w:hAnsi="Times New Roman"/>
              </w:rPr>
              <w:t>, presence</w:t>
            </w:r>
            <w:r w:rsidRPr="00BB256A">
              <w:rPr>
                <w:rFonts w:ascii="Times New Roman" w:eastAsia="楷体" w:hAnsi="Times New Roman"/>
              </w:rPr>
              <w:t xml:space="preserve"> of the 23S, 16S and 5S rRNA</w:t>
            </w:r>
            <w:r>
              <w:rPr>
                <w:rFonts w:ascii="Times New Roman" w:eastAsia="楷体" w:hAnsi="Times New Roman"/>
              </w:rPr>
              <w:t xml:space="preserve"> </w:t>
            </w:r>
            <w:r w:rsidRPr="00BB256A">
              <w:rPr>
                <w:rFonts w:ascii="Times New Roman" w:eastAsia="楷体" w:hAnsi="Times New Roman"/>
              </w:rPr>
              <w:t>genes and at least 18 tRNAs</w:t>
            </w:r>
          </w:p>
        </w:tc>
      </w:tr>
      <w:tr w:rsidR="00BB256A" w14:paraId="166CE8B3" w14:textId="77777777" w:rsidTr="00BB256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0589D042" w14:textId="395FBCBA" w:rsidR="00BB256A" w:rsidRDefault="00BB256A" w:rsidP="00F0794E">
            <w:pPr>
              <w:spacing w:line="360" w:lineRule="auto"/>
              <w:rPr>
                <w:rFonts w:ascii="Times New Roman" w:eastAsia="楷体" w:hAnsi="Times New Roman"/>
              </w:rPr>
            </w:pPr>
            <w:r w:rsidRPr="00BB256A">
              <w:rPr>
                <w:rFonts w:ascii="Times New Roman" w:eastAsia="楷体" w:hAnsi="Times New Roman"/>
              </w:rPr>
              <w:t>Near complete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14:paraId="13073445" w14:textId="4173FCBF" w:rsidR="00BB256A" w:rsidRDefault="00BB256A" w:rsidP="00F0794E">
            <w:pPr>
              <w:spacing w:line="360" w:lineRule="auto"/>
              <w:rPr>
                <w:rFonts w:ascii="Times New Roman" w:eastAsia="楷体" w:hAnsi="Times New Roman"/>
              </w:rPr>
            </w:pPr>
            <w:r w:rsidRPr="00BB256A">
              <w:rPr>
                <w:rFonts w:ascii="Times New Roman" w:eastAsia="楷体" w:hAnsi="Times New Roman"/>
              </w:rPr>
              <w:t>Completeness &gt; 90%</w:t>
            </w:r>
            <w:r>
              <w:rPr>
                <w:rFonts w:ascii="Times New Roman" w:eastAsia="楷体" w:hAnsi="Times New Roman"/>
              </w:rPr>
              <w:t>,</w:t>
            </w:r>
            <w:r w:rsidRPr="00BB256A">
              <w:rPr>
                <w:rFonts w:ascii="Times New Roman" w:eastAsia="楷体" w:hAnsi="Times New Roman"/>
              </w:rPr>
              <w:t xml:space="preserve"> Contamination &lt; 5%</w:t>
            </w:r>
          </w:p>
        </w:tc>
      </w:tr>
      <w:tr w:rsidR="00BB256A" w14:paraId="7FFB0C92" w14:textId="77777777" w:rsidTr="00BB256A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B27E641" w14:textId="14A23AA8" w:rsidR="00BB256A" w:rsidRDefault="00BB256A" w:rsidP="00F0794E">
            <w:pPr>
              <w:spacing w:line="360" w:lineRule="auto"/>
              <w:rPr>
                <w:rFonts w:ascii="Times New Roman" w:eastAsia="楷体" w:hAnsi="Times New Roman"/>
              </w:rPr>
            </w:pPr>
            <w:r w:rsidRPr="00BB256A">
              <w:rPr>
                <w:rFonts w:ascii="Times New Roman" w:eastAsia="楷体" w:hAnsi="Times New Roman"/>
              </w:rPr>
              <w:t>Medium-quality</w:t>
            </w:r>
          </w:p>
        </w:tc>
        <w:tc>
          <w:tcPr>
            <w:tcW w:w="6311" w:type="dxa"/>
            <w:tcBorders>
              <w:top w:val="nil"/>
              <w:left w:val="nil"/>
              <w:bottom w:val="nil"/>
              <w:right w:val="nil"/>
            </w:tcBorders>
          </w:tcPr>
          <w:p w14:paraId="74B93389" w14:textId="3FEF07A1" w:rsidR="00BB256A" w:rsidRDefault="00BB256A" w:rsidP="00F0794E">
            <w:pPr>
              <w:spacing w:line="360" w:lineRule="auto"/>
              <w:rPr>
                <w:rFonts w:ascii="Times New Roman" w:eastAsia="楷体" w:hAnsi="Times New Roman"/>
              </w:rPr>
            </w:pPr>
            <w:r w:rsidRPr="00BB256A">
              <w:rPr>
                <w:rFonts w:ascii="Times New Roman" w:eastAsia="楷体" w:hAnsi="Times New Roman"/>
              </w:rPr>
              <w:t>Completeness ≥ 50%</w:t>
            </w:r>
            <w:r>
              <w:rPr>
                <w:rFonts w:ascii="Times New Roman" w:eastAsia="楷体" w:hAnsi="Times New Roman"/>
              </w:rPr>
              <w:t>,</w:t>
            </w:r>
            <w:r w:rsidRPr="00BB256A">
              <w:rPr>
                <w:rFonts w:ascii="Times New Roman" w:eastAsia="楷体" w:hAnsi="Times New Roman"/>
              </w:rPr>
              <w:t xml:space="preserve"> Contamination &lt; 10%</w:t>
            </w:r>
          </w:p>
        </w:tc>
      </w:tr>
      <w:tr w:rsidR="00BB256A" w14:paraId="01C151BE" w14:textId="77777777" w:rsidTr="00BB256A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1E3C57" w14:textId="0BF66F69" w:rsidR="00BB256A" w:rsidRDefault="00BB256A" w:rsidP="00F0794E">
            <w:pPr>
              <w:spacing w:line="360" w:lineRule="auto"/>
              <w:rPr>
                <w:rFonts w:ascii="Times New Roman" w:eastAsia="楷体" w:hAnsi="Times New Roman"/>
              </w:rPr>
            </w:pPr>
            <w:r w:rsidRPr="00BB256A">
              <w:rPr>
                <w:rFonts w:ascii="Times New Roman" w:eastAsia="楷体" w:hAnsi="Times New Roman"/>
              </w:rPr>
              <w:t>Low-quality</w:t>
            </w:r>
          </w:p>
        </w:tc>
        <w:tc>
          <w:tcPr>
            <w:tcW w:w="63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FDC6D2" w14:textId="7E18554C" w:rsidR="00BB256A" w:rsidRDefault="00BB256A" w:rsidP="00F0794E">
            <w:pPr>
              <w:spacing w:line="360" w:lineRule="auto"/>
              <w:rPr>
                <w:rFonts w:ascii="Times New Roman" w:eastAsia="楷体" w:hAnsi="Times New Roman"/>
              </w:rPr>
            </w:pPr>
            <w:r w:rsidRPr="00BB256A">
              <w:rPr>
                <w:rFonts w:ascii="Times New Roman" w:eastAsia="楷体" w:hAnsi="Times New Roman"/>
              </w:rPr>
              <w:t>Completeness &lt; 50%</w:t>
            </w:r>
            <w:r>
              <w:rPr>
                <w:rFonts w:ascii="Times New Roman" w:eastAsia="楷体" w:hAnsi="Times New Roman"/>
              </w:rPr>
              <w:t>,</w:t>
            </w:r>
            <w:r w:rsidRPr="00BB256A">
              <w:rPr>
                <w:rFonts w:ascii="Times New Roman" w:eastAsia="楷体" w:hAnsi="Times New Roman"/>
              </w:rPr>
              <w:t xml:space="preserve"> Contamination &lt; 10%</w:t>
            </w:r>
          </w:p>
        </w:tc>
      </w:tr>
    </w:tbl>
    <w:p w14:paraId="3B0BC60E" w14:textId="57A7C0D0" w:rsidR="00F63843" w:rsidRPr="001F186B" w:rsidRDefault="00CB40A8" w:rsidP="00F0794E">
      <w:pPr>
        <w:pStyle w:val="a9"/>
        <w:numPr>
          <w:ilvl w:val="0"/>
          <w:numId w:val="9"/>
        </w:numPr>
        <w:spacing w:line="360" w:lineRule="auto"/>
        <w:rPr>
          <w:rFonts w:ascii="Times New Roman" w:eastAsia="楷体" w:hAnsi="Times New Roman"/>
          <w:i/>
          <w:iCs/>
        </w:rPr>
      </w:pPr>
      <w:r w:rsidRPr="001C2D35">
        <w:rPr>
          <w:rFonts w:ascii="Times New Roman" w:eastAsia="楷体" w:hAnsi="Times New Roman"/>
          <w:i/>
          <w:iCs/>
        </w:rPr>
        <w:t>Jia L, Wu Y, Dong Y, et al. A survey on computational strategies for genome-resolved gut metagenomics[J]. Briefings in Bioinformatics, 2023, 24(3): bbad162.</w:t>
      </w:r>
    </w:p>
    <w:p w14:paraId="442F537C" w14:textId="29C809E3" w:rsidR="00A71B00" w:rsidRDefault="008F319D" w:rsidP="00F0794E">
      <w:pPr>
        <w:spacing w:line="360" w:lineRule="auto"/>
        <w:rPr>
          <w:rFonts w:ascii="Times New Roman" w:eastAsia="DengXi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</w:pPr>
      <w:r>
        <w:rPr>
          <w:rFonts w:ascii="Times New Roman" w:eastAsia="楷体" w:hAnsi="Times New Roman"/>
        </w:rPr>
        <w:t>10</w:t>
      </w:r>
      <w:r>
        <w:rPr>
          <w:rFonts w:ascii="Times New Roman" w:eastAsia="楷体" w:hAnsi="Times New Roman" w:hint="eastAsia"/>
        </w:rPr>
        <w:t>．</w:t>
      </w:r>
      <w:r w:rsidR="00895C93">
        <w:rPr>
          <w:rFonts w:ascii="Times New Roman" w:eastAsia="楷体" w:hAnsi="Times New Roman" w:hint="eastAsia"/>
        </w:rPr>
        <w:t>单一</w:t>
      </w:r>
      <w:r>
        <w:rPr>
          <w:rFonts w:ascii="Times New Roman" w:eastAsia="楷体" w:hAnsi="Times New Roman"/>
        </w:rPr>
        <w:t>binnng</w:t>
      </w:r>
      <w:r>
        <w:rPr>
          <w:rFonts w:ascii="Times New Roman" w:eastAsia="楷体" w:hAnsi="Times New Roman" w:hint="eastAsia"/>
        </w:rPr>
        <w:t>分类</w:t>
      </w:r>
      <w:r w:rsidR="00895C93">
        <w:rPr>
          <w:rFonts w:ascii="Times New Roman" w:eastAsia="楷体" w:hAnsi="Times New Roman" w:hint="eastAsia"/>
        </w:rPr>
        <w:t>信息</w:t>
      </w:r>
      <w:r w:rsidR="00426C89">
        <w:rPr>
          <w:rFonts w:ascii="Times New Roman" w:eastAsia="楷体" w:hAnsi="Times New Roman"/>
        </w:rPr>
        <w:t>:</w:t>
      </w:r>
      <w:r w:rsidR="00426C89" w:rsidRPr="00426C89">
        <w:rPr>
          <w:rFonts w:ascii="Times New Roman" w:eastAsia="DengXi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  <w:t xml:space="preserve"> GTDB-Tk</w:t>
      </w:r>
    </w:p>
    <w:p w14:paraId="3FE9956E" w14:textId="3D22203D" w:rsidR="003012BF" w:rsidRPr="003012BF" w:rsidRDefault="003012BF" w:rsidP="00F0794E">
      <w:pPr>
        <w:spacing w:line="360" w:lineRule="auto"/>
        <w:rPr>
          <w:rFonts w:ascii="Times New Roman" w:eastAsia="楷体" w:hAnsi="Times New Roman"/>
        </w:rPr>
      </w:pPr>
      <w:r w:rsidRPr="003012BF">
        <w:rPr>
          <w:rFonts w:ascii="Times New Roman" w:eastAsia="楷体" w:hAnsi="Times New Roman"/>
        </w:rPr>
        <w:tab/>
      </w:r>
      <w:r w:rsidR="00895C93">
        <w:rPr>
          <w:rFonts w:ascii="Times New Roman" w:eastAsia="楷体" w:hAnsi="Times New Roman" w:hint="eastAsia"/>
        </w:rPr>
        <w:t>对</w:t>
      </w:r>
      <w:r w:rsidR="00895C93">
        <w:rPr>
          <w:rFonts w:ascii="Times New Roman" w:eastAsia="楷体" w:hAnsi="Times New Roman" w:hint="eastAsia"/>
        </w:rPr>
        <w:t>bi</w:t>
      </w:r>
      <w:r w:rsidR="00895C93">
        <w:rPr>
          <w:rFonts w:ascii="Times New Roman" w:eastAsia="楷体" w:hAnsi="Times New Roman"/>
        </w:rPr>
        <w:t>nning</w:t>
      </w:r>
      <w:r w:rsidRPr="003012BF">
        <w:rPr>
          <w:rFonts w:ascii="Times New Roman" w:eastAsia="楷体" w:hAnsi="Times New Roman" w:hint="eastAsia"/>
        </w:rPr>
        <w:t>现有的基因组数据库进行比对，以获得对应的分类信息。</w:t>
      </w:r>
    </w:p>
    <w:sectPr w:rsidR="003012BF" w:rsidRPr="00301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C1A3D"/>
    <w:multiLevelType w:val="hybridMultilevel"/>
    <w:tmpl w:val="802CBF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581DAA"/>
    <w:multiLevelType w:val="hybridMultilevel"/>
    <w:tmpl w:val="7266211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3654213"/>
    <w:multiLevelType w:val="hybridMultilevel"/>
    <w:tmpl w:val="313A063C"/>
    <w:lvl w:ilvl="0" w:tplc="0C902C84">
      <w:start w:val="8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95F7968"/>
    <w:multiLevelType w:val="hybridMultilevel"/>
    <w:tmpl w:val="A11AFA06"/>
    <w:lvl w:ilvl="0" w:tplc="83605EF6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8E46A14"/>
    <w:multiLevelType w:val="hybridMultilevel"/>
    <w:tmpl w:val="F344FA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86A6B24"/>
    <w:multiLevelType w:val="hybridMultilevel"/>
    <w:tmpl w:val="2A602270"/>
    <w:lvl w:ilvl="0" w:tplc="7BF4CC5E">
      <w:start w:val="1"/>
      <w:numFmt w:val="decimal"/>
      <w:lvlText w:val="%1."/>
      <w:lvlJc w:val="left"/>
      <w:pPr>
        <w:ind w:left="440" w:hanging="440"/>
      </w:pPr>
      <w:rPr>
        <w:rFonts w:ascii="Times New Roman" w:eastAsia="楷体" w:hAnsi="Times New Roman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4BA50C6"/>
    <w:multiLevelType w:val="hybridMultilevel"/>
    <w:tmpl w:val="F20C46B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9CD0DA3"/>
    <w:multiLevelType w:val="hybridMultilevel"/>
    <w:tmpl w:val="AD52A8D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C3C42F2"/>
    <w:multiLevelType w:val="hybridMultilevel"/>
    <w:tmpl w:val="E6B2ECDE"/>
    <w:lvl w:ilvl="0" w:tplc="7BF4CC5E">
      <w:start w:val="1"/>
      <w:numFmt w:val="decimal"/>
      <w:lvlText w:val="%1."/>
      <w:lvlJc w:val="left"/>
      <w:pPr>
        <w:ind w:left="440" w:hanging="440"/>
      </w:pPr>
      <w:rPr>
        <w:rFonts w:ascii="Times New Roman" w:eastAsia="楷体" w:hAnsi="Times New Roman" w:cstheme="minorBidi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4FD1495"/>
    <w:multiLevelType w:val="hybridMultilevel"/>
    <w:tmpl w:val="856C06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09F572C"/>
    <w:multiLevelType w:val="hybridMultilevel"/>
    <w:tmpl w:val="C7824D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7FCB5A1B"/>
    <w:multiLevelType w:val="hybridMultilevel"/>
    <w:tmpl w:val="2EB09C02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487402727">
    <w:abstractNumId w:val="6"/>
  </w:num>
  <w:num w:numId="2" w16cid:durableId="547954872">
    <w:abstractNumId w:val="10"/>
  </w:num>
  <w:num w:numId="3" w16cid:durableId="1597012579">
    <w:abstractNumId w:val="0"/>
  </w:num>
  <w:num w:numId="4" w16cid:durableId="1205211169">
    <w:abstractNumId w:val="9"/>
  </w:num>
  <w:num w:numId="5" w16cid:durableId="358092522">
    <w:abstractNumId w:val="8"/>
  </w:num>
  <w:num w:numId="6" w16cid:durableId="567887451">
    <w:abstractNumId w:val="7"/>
  </w:num>
  <w:num w:numId="7" w16cid:durableId="1495880427">
    <w:abstractNumId w:val="5"/>
  </w:num>
  <w:num w:numId="8" w16cid:durableId="1841387577">
    <w:abstractNumId w:val="3"/>
  </w:num>
  <w:num w:numId="9" w16cid:durableId="1939632373">
    <w:abstractNumId w:val="4"/>
  </w:num>
  <w:num w:numId="10" w16cid:durableId="1292906879">
    <w:abstractNumId w:val="1"/>
  </w:num>
  <w:num w:numId="11" w16cid:durableId="82185683">
    <w:abstractNumId w:val="11"/>
  </w:num>
  <w:num w:numId="12" w16cid:durableId="627248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1F"/>
    <w:rsid w:val="0004556E"/>
    <w:rsid w:val="000C5719"/>
    <w:rsid w:val="000C70EC"/>
    <w:rsid w:val="000D1798"/>
    <w:rsid w:val="00102CE7"/>
    <w:rsid w:val="00115292"/>
    <w:rsid w:val="0016064C"/>
    <w:rsid w:val="001754DB"/>
    <w:rsid w:val="001C2D35"/>
    <w:rsid w:val="001F186B"/>
    <w:rsid w:val="002842F7"/>
    <w:rsid w:val="002A2127"/>
    <w:rsid w:val="003012BF"/>
    <w:rsid w:val="00316235"/>
    <w:rsid w:val="003D7F2E"/>
    <w:rsid w:val="00426C89"/>
    <w:rsid w:val="00434491"/>
    <w:rsid w:val="004441AC"/>
    <w:rsid w:val="00452902"/>
    <w:rsid w:val="0048511E"/>
    <w:rsid w:val="004B1E0A"/>
    <w:rsid w:val="004F3536"/>
    <w:rsid w:val="0057212E"/>
    <w:rsid w:val="005C33CE"/>
    <w:rsid w:val="0062346E"/>
    <w:rsid w:val="006867A4"/>
    <w:rsid w:val="006A30F0"/>
    <w:rsid w:val="007021F9"/>
    <w:rsid w:val="00734870"/>
    <w:rsid w:val="00774AB4"/>
    <w:rsid w:val="007760EF"/>
    <w:rsid w:val="0078435F"/>
    <w:rsid w:val="00787D15"/>
    <w:rsid w:val="007B4255"/>
    <w:rsid w:val="007C5CD6"/>
    <w:rsid w:val="008323A4"/>
    <w:rsid w:val="00884CE4"/>
    <w:rsid w:val="0089486A"/>
    <w:rsid w:val="00895C93"/>
    <w:rsid w:val="008E06FD"/>
    <w:rsid w:val="008F319D"/>
    <w:rsid w:val="00921B0E"/>
    <w:rsid w:val="00965AC1"/>
    <w:rsid w:val="00986BAE"/>
    <w:rsid w:val="00A35E4F"/>
    <w:rsid w:val="00A55301"/>
    <w:rsid w:val="00A71B00"/>
    <w:rsid w:val="00A9473C"/>
    <w:rsid w:val="00AD2D45"/>
    <w:rsid w:val="00B1169B"/>
    <w:rsid w:val="00B60B1F"/>
    <w:rsid w:val="00B61C11"/>
    <w:rsid w:val="00B869BC"/>
    <w:rsid w:val="00BB256A"/>
    <w:rsid w:val="00BD5831"/>
    <w:rsid w:val="00C7070A"/>
    <w:rsid w:val="00C70BB9"/>
    <w:rsid w:val="00CA5AFC"/>
    <w:rsid w:val="00CB40A8"/>
    <w:rsid w:val="00CC3762"/>
    <w:rsid w:val="00CC54D6"/>
    <w:rsid w:val="00D520B1"/>
    <w:rsid w:val="00DC0C39"/>
    <w:rsid w:val="00E24BF2"/>
    <w:rsid w:val="00E578F9"/>
    <w:rsid w:val="00EB6BD8"/>
    <w:rsid w:val="00F0794E"/>
    <w:rsid w:val="00F168C9"/>
    <w:rsid w:val="00F36B9A"/>
    <w:rsid w:val="00F63843"/>
    <w:rsid w:val="00F77CCC"/>
    <w:rsid w:val="00FD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30801"/>
  <w15:chartTrackingRefBased/>
  <w15:docId w15:val="{68604720-2502-CF4A-9A49-FFD04434F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60B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0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B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B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B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B1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B1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B1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B1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0B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60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60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60B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60B1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60B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60B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60B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60B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60B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60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0B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60B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0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60B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0B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60B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60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60B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60B1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60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B60B1F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B60B1F"/>
    <w:pPr>
      <w:spacing w:line="240" w:lineRule="auto"/>
    </w:pPr>
    <w:rPr>
      <w:sz w:val="20"/>
      <w:szCs w:val="20"/>
    </w:rPr>
  </w:style>
  <w:style w:type="character" w:customStyle="1" w:styleId="af1">
    <w:name w:val="批注文字 字符"/>
    <w:basedOn w:val="a0"/>
    <w:link w:val="af0"/>
    <w:uiPriority w:val="99"/>
    <w:rsid w:val="00B60B1F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15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115292"/>
    <w:rPr>
      <w:rFonts w:ascii="宋体" w:eastAsia="宋体" w:hAnsi="宋体" w:cs="宋体"/>
      <w:kern w:val="0"/>
      <w:sz w:val="24"/>
      <w14:ligatures w14:val="none"/>
    </w:rPr>
  </w:style>
  <w:style w:type="character" w:styleId="af2">
    <w:name w:val="Hyperlink"/>
    <w:basedOn w:val="a0"/>
    <w:uiPriority w:val="99"/>
    <w:unhideWhenUsed/>
    <w:rsid w:val="0048511E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48511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4B1E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mprod1.cibio.unitn.it/biobakery4/metaphlan_databases/mpa_vJun23_CHOCOPhlAnSGB_202307_species.txt.bz2" TargetMode="External"/><Relationship Id="rId5" Type="http://schemas.openxmlformats.org/officeDocument/2006/relationships/hyperlink" Target="http://cmprod1.cibio.unitn.it/biobakery4/metaphlan_databases/mpa_vJun23_CHOCOPhlAnSGB_202307_marker_info.txt.bz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Yucai</dc:creator>
  <cp:keywords/>
  <dc:description/>
  <cp:lastModifiedBy>Fan, Yucai</cp:lastModifiedBy>
  <cp:revision>31</cp:revision>
  <dcterms:created xsi:type="dcterms:W3CDTF">2024-09-18T07:25:00Z</dcterms:created>
  <dcterms:modified xsi:type="dcterms:W3CDTF">2024-11-22T05:59:00Z</dcterms:modified>
</cp:coreProperties>
</file>