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A49374" w14:textId="49F8E2F5" w:rsidR="00D97FB8" w:rsidRDefault="00D97FB8" w:rsidP="00FC432F">
      <w:pPr>
        <w:pStyle w:val="2"/>
      </w:pPr>
      <w:r>
        <w:rPr>
          <w:rFonts w:hint="eastAsia"/>
        </w:rPr>
        <w:t>单细胞数据分析</w:t>
      </w:r>
      <w:r w:rsidR="00FC432F">
        <w:rPr>
          <w:rFonts w:hint="eastAsia"/>
        </w:rPr>
        <w:t>-数据质控</w:t>
      </w:r>
    </w:p>
    <w:p w14:paraId="6407D199" w14:textId="3580009F" w:rsidR="00AE7056" w:rsidRPr="00EC300B" w:rsidRDefault="00BC41AA" w:rsidP="00EC300B">
      <w:pPr>
        <w:rPr>
          <w:rFonts w:ascii="Times New Roman" w:eastAsia="楷体" w:hAnsi="Times New Roman" w:cs="Times New Roman (正文 CS 字体)"/>
        </w:rPr>
      </w:pPr>
      <w:r w:rsidRPr="00EC300B">
        <w:rPr>
          <w:rFonts w:ascii="Times New Roman" w:eastAsia="楷体" w:hAnsi="Times New Roman" w:cs="Times New Roman (正文 CS 字体)"/>
          <w:noProof/>
        </w:rPr>
        <w:drawing>
          <wp:inline distT="0" distB="0" distL="0" distR="0" wp14:anchorId="037838D4" wp14:editId="5BDD7ACD">
            <wp:extent cx="5274310" cy="2571115"/>
            <wp:effectExtent l="0" t="0" r="0" b="0"/>
            <wp:docPr id="1183061249" name="图片 2" descr="图表, 气泡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61249" name="图片 2" descr="图表, 气泡图&#10;&#10;AI 生成的内容可能不正确。"/>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571115"/>
                    </a:xfrm>
                    <a:prstGeom prst="rect">
                      <a:avLst/>
                    </a:prstGeom>
                  </pic:spPr>
                </pic:pic>
              </a:graphicData>
            </a:graphic>
          </wp:inline>
        </w:drawing>
      </w:r>
    </w:p>
    <w:p w14:paraId="027166E2" w14:textId="500335DD" w:rsidR="00BC41AA" w:rsidRPr="00EC300B" w:rsidRDefault="00BC41AA" w:rsidP="00EC300B">
      <w:pPr>
        <w:pStyle w:val="a9"/>
        <w:numPr>
          <w:ilvl w:val="0"/>
          <w:numId w:val="4"/>
        </w:numPr>
        <w:rPr>
          <w:rFonts w:ascii="Times New Roman" w:eastAsia="楷体" w:hAnsi="Times New Roman" w:cs="Times New Roman (正文 CS 字体)"/>
          <w:b/>
          <w:bCs/>
          <w:color w:val="FF0000"/>
        </w:rPr>
      </w:pPr>
      <w:r w:rsidRPr="00EC300B">
        <w:rPr>
          <w:rFonts w:ascii="Times New Roman" w:eastAsia="楷体" w:hAnsi="Times New Roman" w:cs="Times New Roman (正文 CS 字体)"/>
          <w:b/>
          <w:bCs/>
          <w:color w:val="FF0000"/>
        </w:rPr>
        <w:t>Filtering low quality cells</w:t>
      </w:r>
      <w:r w:rsidRPr="00EC300B">
        <w:rPr>
          <w:rFonts w:ascii="Times New Roman" w:eastAsia="楷体" w:hAnsi="Times New Roman" w:cs="Times New Roman (正文 CS 字体)" w:hint="eastAsia"/>
          <w:b/>
          <w:bCs/>
          <w:color w:val="FF0000"/>
        </w:rPr>
        <w:t>去除低质量细胞</w:t>
      </w:r>
    </w:p>
    <w:p w14:paraId="05F4D8E9" w14:textId="77777777" w:rsidR="00BC41AA" w:rsidRPr="00EC300B" w:rsidRDefault="00BC41AA" w:rsidP="00EC300B">
      <w:pPr>
        <w:rPr>
          <w:rFonts w:ascii="Times New Roman" w:eastAsia="楷体" w:hAnsi="Times New Roman" w:cs="Times New Roman (正文 CS 字体)"/>
        </w:rPr>
      </w:pPr>
      <w:r w:rsidRPr="00EC300B">
        <w:rPr>
          <w:rFonts w:ascii="Times New Roman" w:eastAsia="楷体" w:hAnsi="Times New Roman" w:cs="Times New Roman (正文 CS 字体)"/>
        </w:rPr>
        <w:t>每个条形码的</w:t>
      </w:r>
      <w:r w:rsidRPr="00EC300B">
        <w:rPr>
          <w:rFonts w:ascii="Times New Roman" w:eastAsia="楷体" w:hAnsi="Times New Roman" w:cs="Times New Roman (正文 CS 字体)"/>
        </w:rPr>
        <w:t xml:space="preserve"> UMI </w:t>
      </w:r>
      <w:r w:rsidRPr="00EC300B">
        <w:rPr>
          <w:rFonts w:ascii="Times New Roman" w:eastAsia="楷体" w:hAnsi="Times New Roman" w:cs="Times New Roman (正文 CS 字体)"/>
        </w:rPr>
        <w:t>计数深度</w:t>
      </w:r>
      <w:r w:rsidRPr="00EC300B">
        <w:rPr>
          <w:rFonts w:ascii="Times New Roman" w:eastAsia="楷体" w:hAnsi="Times New Roman" w:cs="Times New Roman (正文 CS 字体)"/>
        </w:rPr>
        <w:t xml:space="preserve"> (count depth)</w:t>
      </w:r>
    </w:p>
    <w:p w14:paraId="1D321154" w14:textId="77777777" w:rsidR="00BC41AA" w:rsidRPr="00EC300B" w:rsidRDefault="00BC41AA" w:rsidP="00EC300B">
      <w:pPr>
        <w:rPr>
          <w:rFonts w:ascii="Times New Roman" w:eastAsia="楷体" w:hAnsi="Times New Roman" w:cs="Times New Roman (正文 CS 字体)"/>
        </w:rPr>
      </w:pPr>
      <w:r w:rsidRPr="00EC300B">
        <w:rPr>
          <w:rFonts w:ascii="Times New Roman" w:eastAsia="楷体" w:hAnsi="Times New Roman" w:cs="Times New Roman (正文 CS 字体)"/>
        </w:rPr>
        <w:t>每个条形码检测到的基因数</w:t>
      </w:r>
      <w:r w:rsidRPr="00EC300B">
        <w:rPr>
          <w:rFonts w:ascii="Times New Roman" w:eastAsia="楷体" w:hAnsi="Times New Roman" w:cs="Times New Roman (正文 CS 字体)"/>
        </w:rPr>
        <w:t xml:space="preserve"> (gene count per barcode)</w:t>
      </w:r>
    </w:p>
    <w:p w14:paraId="0A8D830A" w14:textId="24CF7D36" w:rsidR="00BC41AA" w:rsidRPr="00EC300B" w:rsidRDefault="00BC41AA" w:rsidP="00EC300B">
      <w:pPr>
        <w:rPr>
          <w:rFonts w:ascii="Times New Roman" w:eastAsia="楷体" w:hAnsi="Times New Roman" w:cs="Times New Roman (正文 CS 字体)"/>
        </w:rPr>
      </w:pPr>
      <w:r w:rsidRPr="00EC300B">
        <w:rPr>
          <w:rFonts w:ascii="Times New Roman" w:eastAsia="楷体" w:hAnsi="Times New Roman" w:cs="Times New Roman (正文 CS 字体)"/>
        </w:rPr>
        <w:t>每个条形码中线粒体基因</w:t>
      </w:r>
      <w:r w:rsidRPr="00EC300B">
        <w:rPr>
          <w:rFonts w:ascii="Times New Roman" w:eastAsia="楷体" w:hAnsi="Times New Roman" w:cs="Times New Roman (正文 CS 字体)"/>
        </w:rPr>
        <w:t xml:space="preserve"> UMI </w:t>
      </w:r>
      <w:r w:rsidRPr="00EC300B">
        <w:rPr>
          <w:rFonts w:ascii="Times New Roman" w:eastAsia="楷体" w:hAnsi="Times New Roman" w:cs="Times New Roman (正文 CS 字体)"/>
        </w:rPr>
        <w:t>计数的比例</w:t>
      </w:r>
      <w:r w:rsidRPr="00EC300B">
        <w:rPr>
          <w:rFonts w:ascii="Times New Roman" w:eastAsia="楷体" w:hAnsi="Times New Roman" w:cs="Times New Roman (正文 CS 字体)"/>
        </w:rPr>
        <w:t xml:space="preserve"> (fraction of mitochondrial counts per barcode)</w:t>
      </w:r>
    </w:p>
    <w:p w14:paraId="7C337966" w14:textId="6FD98968" w:rsidR="00BC41AA" w:rsidRPr="00EC300B" w:rsidRDefault="00BC41AA" w:rsidP="00EC300B">
      <w:pPr>
        <w:pStyle w:val="a9"/>
        <w:numPr>
          <w:ilvl w:val="0"/>
          <w:numId w:val="4"/>
        </w:numPr>
        <w:rPr>
          <w:rFonts w:ascii="Times New Roman" w:eastAsia="楷体" w:hAnsi="Times New Roman" w:cs="Times New Roman (正文 CS 字体)"/>
          <w:b/>
          <w:bCs/>
          <w:color w:val="FF0000"/>
        </w:rPr>
      </w:pPr>
      <w:r w:rsidRPr="00EC300B">
        <w:rPr>
          <w:rFonts w:ascii="Times New Roman" w:eastAsia="楷体" w:hAnsi="Times New Roman" w:cs="Times New Roman (正文 CS 字体)"/>
          <w:b/>
          <w:bCs/>
          <w:color w:val="FF0000"/>
        </w:rPr>
        <w:t>Correction of ambient RNA</w:t>
      </w:r>
      <w:r w:rsidRPr="00EC300B">
        <w:rPr>
          <w:rFonts w:ascii="Times New Roman" w:eastAsia="楷体" w:hAnsi="Times New Roman" w:cs="Times New Roman (正文 CS 字体)"/>
          <w:b/>
          <w:bCs/>
          <w:color w:val="FF0000"/>
        </w:rPr>
        <w:t>环境</w:t>
      </w:r>
      <w:r w:rsidRPr="00EC300B">
        <w:rPr>
          <w:rFonts w:ascii="Times New Roman" w:eastAsia="楷体" w:hAnsi="Times New Roman" w:cs="Times New Roman (正文 CS 字体)"/>
          <w:b/>
          <w:bCs/>
          <w:color w:val="FF0000"/>
        </w:rPr>
        <w:t>RNA</w:t>
      </w:r>
    </w:p>
    <w:p w14:paraId="0C6A5128" w14:textId="2FA7ADCE" w:rsidR="00BC41AA" w:rsidRPr="00EC300B" w:rsidRDefault="00BC41AA" w:rsidP="00EC300B">
      <w:pPr>
        <w:rPr>
          <w:rFonts w:ascii="Times New Roman" w:eastAsia="楷体" w:hAnsi="Times New Roman" w:cs="Times New Roman (正文 CS 字体)"/>
        </w:rPr>
      </w:pPr>
      <w:r w:rsidRPr="00EC300B">
        <w:rPr>
          <w:rFonts w:ascii="Times New Roman" w:eastAsia="楷体" w:hAnsi="Times New Roman" w:cs="Times New Roman (正文 CS 字体)" w:hint="eastAsia"/>
          <w:noProof/>
        </w:rPr>
        <w:drawing>
          <wp:inline distT="0" distB="0" distL="0" distR="0" wp14:anchorId="4EC386F6" wp14:editId="47A68F8A">
            <wp:extent cx="5274310" cy="2871470"/>
            <wp:effectExtent l="0" t="0" r="0" b="0"/>
            <wp:docPr id="7287605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60538" name="图片 72876053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871470"/>
                    </a:xfrm>
                    <a:prstGeom prst="rect">
                      <a:avLst/>
                    </a:prstGeom>
                  </pic:spPr>
                </pic:pic>
              </a:graphicData>
            </a:graphic>
          </wp:inline>
        </w:drawing>
      </w:r>
    </w:p>
    <w:p w14:paraId="17FFCF25" w14:textId="27E97EFF" w:rsidR="00EC300B" w:rsidRDefault="00EC300B" w:rsidP="00EC300B">
      <w:pPr>
        <w:rPr>
          <w:rFonts w:ascii="Times New Roman" w:eastAsia="楷体" w:hAnsi="Times New Roman" w:cs="Times New Roman (正文 CS 字体)"/>
        </w:rPr>
      </w:pPr>
      <w:r>
        <w:rPr>
          <w:rFonts w:ascii="Times New Roman" w:eastAsia="楷体" w:hAnsi="Times New Roman" w:cs="Times New Roman (正文 CS 字体)"/>
        </w:rPr>
        <w:t>2-1</w:t>
      </w:r>
      <w:r w:rsidR="00BC41AA" w:rsidRPr="00EC300B">
        <w:rPr>
          <w:rFonts w:ascii="Times New Roman" w:eastAsia="楷体" w:hAnsi="Times New Roman" w:cs="Times New Roman (正文 CS 字体)"/>
        </w:rPr>
        <w:t>细胞破裂或凋亡：</w:t>
      </w:r>
    </w:p>
    <w:p w14:paraId="647FA747" w14:textId="2C140B3C" w:rsidR="00BC41AA" w:rsidRPr="00EC300B" w:rsidRDefault="00BC41AA" w:rsidP="00EC300B">
      <w:pPr>
        <w:ind w:left="420"/>
        <w:rPr>
          <w:rFonts w:ascii="Times New Roman" w:eastAsia="楷体" w:hAnsi="Times New Roman" w:cs="Times New Roman (正文 CS 字体)"/>
        </w:rPr>
      </w:pPr>
      <w:r w:rsidRPr="00EC300B">
        <w:rPr>
          <w:rFonts w:ascii="Times New Roman" w:eastAsia="楷体" w:hAnsi="Times New Roman" w:cs="Times New Roman (正文 CS 字体)"/>
        </w:rPr>
        <w:t>在单细胞分离过程中，一些细胞可能受损、破裂或处于凋亡状态，导致其</w:t>
      </w:r>
      <w:r w:rsidRPr="00EC300B">
        <w:rPr>
          <w:rFonts w:ascii="Times New Roman" w:eastAsia="楷体" w:hAnsi="Times New Roman" w:cs="Times New Roman (正文 CS 字体)"/>
        </w:rPr>
        <w:t>RNA</w:t>
      </w:r>
      <w:r w:rsidRPr="00EC300B">
        <w:rPr>
          <w:rFonts w:ascii="Times New Roman" w:eastAsia="楷体" w:hAnsi="Times New Roman" w:cs="Times New Roman (正文 CS 字体)"/>
        </w:rPr>
        <w:t>内容物释放到周围的溶液中</w:t>
      </w:r>
    </w:p>
    <w:p w14:paraId="3ECBCF82" w14:textId="77777777" w:rsidR="00EC300B" w:rsidRDefault="00BC41AA" w:rsidP="00EC300B">
      <w:pPr>
        <w:rPr>
          <w:rFonts w:ascii="Times New Roman" w:eastAsia="楷体" w:hAnsi="Times New Roman" w:cs="Times New Roman (正文 CS 字体)"/>
        </w:rPr>
      </w:pPr>
      <w:r w:rsidRPr="00EC300B">
        <w:rPr>
          <w:rFonts w:ascii="Times New Roman" w:eastAsia="楷体" w:hAnsi="Times New Roman" w:cs="Times New Roman (正文 CS 字体)"/>
        </w:rPr>
        <w:t>溶液中的游离</w:t>
      </w:r>
      <w:r w:rsidRPr="00EC300B">
        <w:rPr>
          <w:rFonts w:ascii="Times New Roman" w:eastAsia="楷体" w:hAnsi="Times New Roman" w:cs="Times New Roman (正文 CS 字体)"/>
        </w:rPr>
        <w:t>RNA</w:t>
      </w:r>
      <w:r w:rsidRPr="00EC300B">
        <w:rPr>
          <w:rFonts w:ascii="Times New Roman" w:eastAsia="楷体" w:hAnsi="Times New Roman" w:cs="Times New Roman (正文 CS 字体)"/>
        </w:rPr>
        <w:t>：</w:t>
      </w:r>
    </w:p>
    <w:p w14:paraId="10412EB4" w14:textId="29DDD89D" w:rsidR="00BC41AA" w:rsidRPr="00EC300B" w:rsidRDefault="00BC41AA" w:rsidP="00EC300B">
      <w:pPr>
        <w:ind w:left="420"/>
        <w:rPr>
          <w:rFonts w:ascii="Times New Roman" w:eastAsia="楷体" w:hAnsi="Times New Roman" w:cs="Times New Roman (正文 CS 字体)"/>
        </w:rPr>
      </w:pPr>
      <w:r w:rsidRPr="00EC300B">
        <w:rPr>
          <w:rFonts w:ascii="Times New Roman" w:eastAsia="楷体" w:hAnsi="Times New Roman" w:cs="Times New Roman (正文 CS 字体)"/>
        </w:rPr>
        <w:t>这些</w:t>
      </w:r>
      <w:r w:rsidRPr="00EC300B">
        <w:rPr>
          <w:rFonts w:ascii="Times New Roman" w:eastAsia="楷体" w:hAnsi="Times New Roman" w:cs="Times New Roman (正文 CS 字体)"/>
        </w:rPr>
        <w:t>RNA</w:t>
      </w:r>
      <w:r w:rsidRPr="00EC300B">
        <w:rPr>
          <w:rFonts w:ascii="Times New Roman" w:eastAsia="楷体" w:hAnsi="Times New Roman" w:cs="Times New Roman (正文 CS 字体)"/>
        </w:rPr>
        <w:t>可能悬浮在细胞悬液中，并在液滴形成（如基于液滴的</w:t>
      </w:r>
      <w:r w:rsidRPr="00EC300B">
        <w:rPr>
          <w:rFonts w:ascii="Times New Roman" w:eastAsia="楷体" w:hAnsi="Times New Roman" w:cs="Times New Roman (正文 CS 字体)"/>
        </w:rPr>
        <w:t>scRNA-seq</w:t>
      </w:r>
      <w:r w:rsidRPr="00EC300B">
        <w:rPr>
          <w:rFonts w:ascii="Times New Roman" w:eastAsia="楷体" w:hAnsi="Times New Roman" w:cs="Times New Roman (正文 CS 字体)"/>
        </w:rPr>
        <w:t>方法，例如</w:t>
      </w:r>
      <w:r w:rsidRPr="00EC300B">
        <w:rPr>
          <w:rFonts w:ascii="Times New Roman" w:eastAsia="楷体" w:hAnsi="Times New Roman" w:cs="Times New Roman (正文 CS 字体)"/>
        </w:rPr>
        <w:t>10x Genomics</w:t>
      </w:r>
      <w:r w:rsidRPr="00EC300B">
        <w:rPr>
          <w:rFonts w:ascii="Times New Roman" w:eastAsia="楷体" w:hAnsi="Times New Roman" w:cs="Times New Roman (正文 CS 字体)"/>
        </w:rPr>
        <w:t>）时被意外封装到其他细胞的液滴中</w:t>
      </w:r>
    </w:p>
    <w:p w14:paraId="79BD806A" w14:textId="7A062FC3" w:rsidR="00EC300B" w:rsidRDefault="00EC300B" w:rsidP="00EC300B">
      <w:pPr>
        <w:rPr>
          <w:rFonts w:ascii="Times New Roman" w:eastAsia="楷体" w:hAnsi="Times New Roman" w:cs="Times New Roman (正文 CS 字体)"/>
        </w:rPr>
      </w:pPr>
      <w:r>
        <w:rPr>
          <w:rFonts w:ascii="Times New Roman" w:eastAsia="楷体" w:hAnsi="Times New Roman" w:cs="Times New Roman (正文 CS 字体)"/>
        </w:rPr>
        <w:lastRenderedPageBreak/>
        <w:t>2-2</w:t>
      </w:r>
      <w:r w:rsidR="00BC41AA" w:rsidRPr="00EC300B">
        <w:rPr>
          <w:rFonts w:ascii="Times New Roman" w:eastAsia="楷体" w:hAnsi="Times New Roman" w:cs="Times New Roman (正文 CS 字体)"/>
        </w:rPr>
        <w:t>样本处理中的污染：</w:t>
      </w:r>
    </w:p>
    <w:p w14:paraId="2FA9760D" w14:textId="2BE48B37" w:rsidR="00BC41AA" w:rsidRPr="00EC300B" w:rsidRDefault="00BC41AA" w:rsidP="00EC300B">
      <w:pPr>
        <w:ind w:firstLine="420"/>
        <w:rPr>
          <w:rFonts w:ascii="Times New Roman" w:eastAsia="楷体" w:hAnsi="Times New Roman" w:cs="Times New Roman (正文 CS 字体)"/>
        </w:rPr>
      </w:pPr>
      <w:r w:rsidRPr="00EC300B">
        <w:rPr>
          <w:rFonts w:ascii="Times New Roman" w:eastAsia="楷体" w:hAnsi="Times New Roman" w:cs="Times New Roman (正文 CS 字体)"/>
        </w:rPr>
        <w:t>例如，取样或实验操作过程中引入的外源性</w:t>
      </w:r>
      <w:r w:rsidRPr="00EC300B">
        <w:rPr>
          <w:rFonts w:ascii="Times New Roman" w:eastAsia="楷体" w:hAnsi="Times New Roman" w:cs="Times New Roman (正文 CS 字体)"/>
        </w:rPr>
        <w:t>RNA</w:t>
      </w:r>
    </w:p>
    <w:p w14:paraId="13228F37" w14:textId="35BF8AE1" w:rsidR="00BC41AA" w:rsidRPr="00EC300B" w:rsidRDefault="00EC300B" w:rsidP="00EC300B">
      <w:pPr>
        <w:rPr>
          <w:rFonts w:ascii="Times New Roman" w:eastAsia="楷体" w:hAnsi="Times New Roman" w:cs="Times New Roman (正文 CS 字体)"/>
        </w:rPr>
      </w:pPr>
      <w:r>
        <w:rPr>
          <w:rFonts w:ascii="Times New Roman" w:eastAsia="楷体" w:hAnsi="Times New Roman" w:cs="Times New Roman (正文 CS 字体)"/>
        </w:rPr>
        <w:t>2-3</w:t>
      </w:r>
      <w:r w:rsidR="00BC41AA" w:rsidRPr="00EC300B">
        <w:rPr>
          <w:rFonts w:ascii="Times New Roman" w:eastAsia="楷体" w:hAnsi="Times New Roman" w:cs="Times New Roman (正文 CS 字体)" w:hint="eastAsia"/>
        </w:rPr>
        <w:t>生信分析工具：</w:t>
      </w:r>
    </w:p>
    <w:p w14:paraId="064396B8" w14:textId="77777777" w:rsidR="00EC300B" w:rsidRDefault="00BC41AA" w:rsidP="00EC300B">
      <w:pPr>
        <w:rPr>
          <w:rFonts w:ascii="Times New Roman" w:eastAsia="楷体" w:hAnsi="Times New Roman" w:cs="Times New Roman (正文 CS 字体)"/>
        </w:rPr>
      </w:pPr>
      <w:r w:rsidRPr="00EC300B">
        <w:rPr>
          <w:rFonts w:ascii="Times New Roman" w:eastAsia="楷体" w:hAnsi="Times New Roman" w:cs="Times New Roman (正文 CS 字体)"/>
        </w:rPr>
        <w:t>CellBender, DecontX, SoupX</w:t>
      </w:r>
    </w:p>
    <w:p w14:paraId="2FDCF731" w14:textId="69F9C990" w:rsidR="00BC41AA" w:rsidRPr="00EC300B" w:rsidRDefault="00BC41AA" w:rsidP="00EC300B">
      <w:pPr>
        <w:rPr>
          <w:rFonts w:ascii="Times New Roman" w:eastAsia="楷体" w:hAnsi="Times New Roman" w:cs="Times New Roman (正文 CS 字体)"/>
        </w:rPr>
      </w:pPr>
      <w:r w:rsidRPr="00EC300B">
        <w:rPr>
          <w:rFonts w:ascii="Times New Roman" w:eastAsia="楷体" w:hAnsi="Times New Roman" w:cs="Times New Roman (正文 CS 字体)"/>
        </w:rPr>
        <w:t>CellBender provides the most precise estimates of background noise levels and also yields the highest improvement for marker gene detection. </w:t>
      </w:r>
    </w:p>
    <w:p w14:paraId="4B03CDD8" w14:textId="77777777" w:rsidR="00BC41AA" w:rsidRPr="00EC300B" w:rsidRDefault="00BC41AA" w:rsidP="00EC300B">
      <w:pPr>
        <w:rPr>
          <w:rFonts w:ascii="Times New Roman" w:eastAsia="楷体" w:hAnsi="Times New Roman" w:cs="Times New Roman (正文 CS 字体)"/>
        </w:rPr>
      </w:pPr>
      <w:r w:rsidRPr="00EC300B">
        <w:rPr>
          <w:rFonts w:ascii="Times New Roman" w:eastAsia="楷体" w:hAnsi="Times New Roman" w:cs="Times New Roman (正文 CS 字体)"/>
        </w:rPr>
        <w:t>Janssen P, Kliesmete Z, Vieth B, et al. The effect of background noise and its removal on the analysis of single-cell expression data[J]. Genome biology, 2023, 24(1): 140.</w:t>
      </w:r>
    </w:p>
    <w:p w14:paraId="6BFCB667" w14:textId="77777777" w:rsidR="00BC41AA" w:rsidRPr="00EC300B" w:rsidRDefault="00BC41AA" w:rsidP="00EC300B">
      <w:pPr>
        <w:rPr>
          <w:rFonts w:ascii="Times New Roman" w:eastAsia="楷体" w:hAnsi="Times New Roman" w:cs="Times New Roman (正文 CS 字体)"/>
        </w:rPr>
      </w:pPr>
      <w:hyperlink r:id="rId8" w:history="1">
        <w:r w:rsidRPr="00EC300B">
          <w:rPr>
            <w:rStyle w:val="af"/>
            <w:rFonts w:ascii="Times New Roman" w:eastAsia="楷体" w:hAnsi="Times New Roman" w:cs="Times New Roman (正文 CS 字体)"/>
          </w:rPr>
          <w:t>https://kb.10xgenomics.com/hc/en-us/articles/360060415811-Can-I-remove-ambient-RNA-contamination-from-cells-in-my-gene-expression-data</w:t>
        </w:r>
      </w:hyperlink>
    </w:p>
    <w:p w14:paraId="7393DAA6" w14:textId="77777777" w:rsidR="00BC41AA" w:rsidRPr="00EC300B" w:rsidRDefault="00BC41AA" w:rsidP="00EC300B">
      <w:pPr>
        <w:rPr>
          <w:rFonts w:ascii="Times New Roman" w:eastAsia="楷体" w:hAnsi="Times New Roman" w:cs="Times New Roman (正文 CS 字体)"/>
        </w:rPr>
      </w:pPr>
    </w:p>
    <w:p w14:paraId="4382F62A" w14:textId="6D242C1F" w:rsidR="00BC41AA" w:rsidRPr="00EC300B" w:rsidRDefault="00BC41AA" w:rsidP="00EC300B">
      <w:pPr>
        <w:pStyle w:val="a9"/>
        <w:numPr>
          <w:ilvl w:val="0"/>
          <w:numId w:val="4"/>
        </w:numPr>
        <w:rPr>
          <w:rFonts w:ascii="Times New Roman" w:eastAsia="楷体" w:hAnsi="Times New Roman" w:cs="Times New Roman (正文 CS 字体)"/>
          <w:b/>
          <w:bCs/>
          <w:color w:val="FF0000"/>
        </w:rPr>
      </w:pPr>
      <w:r w:rsidRPr="00EC300B">
        <w:rPr>
          <w:rFonts w:ascii="Times New Roman" w:eastAsia="楷体" w:hAnsi="Times New Roman" w:cs="Times New Roman (正文 CS 字体)"/>
          <w:b/>
          <w:bCs/>
          <w:color w:val="FF0000"/>
        </w:rPr>
        <w:t>Doublet Detection</w:t>
      </w:r>
      <w:r w:rsidRPr="00EC300B">
        <w:rPr>
          <w:rFonts w:ascii="Times New Roman" w:eastAsia="楷体" w:hAnsi="Times New Roman" w:cs="Times New Roman (正文 CS 字体)"/>
          <w:b/>
          <w:bCs/>
          <w:color w:val="FF0000"/>
        </w:rPr>
        <w:t>两个或多个细胞的</w:t>
      </w:r>
      <w:r w:rsidRPr="00EC300B">
        <w:rPr>
          <w:rFonts w:ascii="Times New Roman" w:eastAsia="楷体" w:hAnsi="Times New Roman" w:cs="Times New Roman (正文 CS 字体)"/>
          <w:b/>
          <w:bCs/>
          <w:color w:val="FF0000"/>
        </w:rPr>
        <w:t xml:space="preserve"> mRNA </w:t>
      </w:r>
      <w:r w:rsidRPr="00EC300B">
        <w:rPr>
          <w:rFonts w:ascii="Times New Roman" w:eastAsia="楷体" w:hAnsi="Times New Roman" w:cs="Times New Roman (正文 CS 字体)"/>
          <w:b/>
          <w:bCs/>
          <w:color w:val="FF0000"/>
        </w:rPr>
        <w:t>被误认为是单个细胞的表达数据</w:t>
      </w:r>
    </w:p>
    <w:p w14:paraId="2457A682" w14:textId="7D569C2D" w:rsidR="00BC41AA" w:rsidRPr="00EC300B" w:rsidRDefault="00BC41AA" w:rsidP="00EC300B">
      <w:pPr>
        <w:rPr>
          <w:rFonts w:ascii="Times New Roman" w:eastAsia="楷体" w:hAnsi="Times New Roman" w:cs="Times New Roman (正文 CS 字体)"/>
        </w:rPr>
      </w:pPr>
      <w:r w:rsidRPr="00EC300B">
        <w:rPr>
          <w:rFonts w:ascii="Times New Roman" w:eastAsia="楷体" w:hAnsi="Times New Roman" w:cs="Times New Roman (正文 CS 字体)"/>
          <w:noProof/>
        </w:rPr>
        <w:drawing>
          <wp:inline distT="0" distB="0" distL="0" distR="0" wp14:anchorId="7EB25B43" wp14:editId="17C04F15">
            <wp:extent cx="5274310" cy="1332230"/>
            <wp:effectExtent l="0" t="0" r="0" b="1270"/>
            <wp:docPr id="143676980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69803" name="图片 143676980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1332230"/>
                    </a:xfrm>
                    <a:prstGeom prst="rect">
                      <a:avLst/>
                    </a:prstGeom>
                  </pic:spPr>
                </pic:pic>
              </a:graphicData>
            </a:graphic>
          </wp:inline>
        </w:drawing>
      </w:r>
    </w:p>
    <w:p w14:paraId="68A47B84" w14:textId="77777777" w:rsidR="00EC300B" w:rsidRPr="00EC300B" w:rsidRDefault="00EC300B" w:rsidP="00EC300B">
      <w:pPr>
        <w:rPr>
          <w:rFonts w:ascii="Times New Roman" w:eastAsia="楷体" w:hAnsi="Times New Roman" w:cs="Times New Roman (正文 CS 字体)"/>
        </w:rPr>
      </w:pPr>
      <w:r w:rsidRPr="00EC300B">
        <w:rPr>
          <w:rFonts w:ascii="Times New Roman" w:eastAsia="楷体" w:hAnsi="Times New Roman" w:cs="Times New Roman (正文 CS 字体)"/>
        </w:rPr>
        <w:t>相同类型的细胞</w:t>
      </w:r>
      <w:r w:rsidRPr="00EC300B">
        <w:rPr>
          <w:rFonts w:ascii="Times New Roman" w:eastAsia="楷体" w:hAnsi="Times New Roman" w:cs="Times New Roman (正文 CS 字体)"/>
        </w:rPr>
        <w:t xml:space="preserve"> (</w:t>
      </w:r>
      <w:r w:rsidRPr="00EC300B">
        <w:rPr>
          <w:rFonts w:ascii="Times New Roman" w:eastAsia="楷体" w:hAnsi="Times New Roman" w:cs="Times New Roman (正文 CS 字体)"/>
        </w:rPr>
        <w:t>但来自不同个体</w:t>
      </w:r>
      <w:r w:rsidRPr="00EC300B">
        <w:rPr>
          <w:rFonts w:ascii="Times New Roman" w:eastAsia="楷体" w:hAnsi="Times New Roman" w:cs="Times New Roman (正文 CS 字体)"/>
        </w:rPr>
        <w:t xml:space="preserve">) </w:t>
      </w:r>
      <w:r w:rsidRPr="00EC300B">
        <w:rPr>
          <w:rFonts w:ascii="Times New Roman" w:eastAsia="楷体" w:hAnsi="Times New Roman" w:cs="Times New Roman (正文 CS 字体)"/>
        </w:rPr>
        <w:t>组成，则称为同源双胞</w:t>
      </w:r>
      <w:r w:rsidRPr="00EC300B">
        <w:rPr>
          <w:rFonts w:ascii="Times New Roman" w:eastAsia="楷体" w:hAnsi="Times New Roman" w:cs="Times New Roman (正文 CS 字体)"/>
        </w:rPr>
        <w:t xml:space="preserve"> (homotypic doublet)</w:t>
      </w:r>
    </w:p>
    <w:p w14:paraId="45A3D1BC" w14:textId="12D2D853" w:rsidR="00EC300B" w:rsidRDefault="00EC300B" w:rsidP="00D97FB8">
      <w:pPr>
        <w:rPr>
          <w:rFonts w:ascii="Times New Roman" w:eastAsia="楷体" w:hAnsi="Times New Roman" w:cs="Times New Roman (正文 CS 字体)"/>
        </w:rPr>
      </w:pPr>
      <w:r w:rsidRPr="00EC300B">
        <w:rPr>
          <w:rFonts w:ascii="Times New Roman" w:eastAsia="楷体" w:hAnsi="Times New Roman" w:cs="Times New Roman (正文 CS 字体)"/>
        </w:rPr>
        <w:t>由不同类型或不同状态的细胞组成</w:t>
      </w:r>
      <w:r w:rsidRPr="00EC300B">
        <w:rPr>
          <w:rFonts w:ascii="Times New Roman" w:eastAsia="楷体" w:hAnsi="Times New Roman" w:cs="Times New Roman (正文 CS 字体)" w:hint="eastAsia"/>
        </w:rPr>
        <w:t>，</w:t>
      </w:r>
      <w:r w:rsidRPr="00EC300B">
        <w:rPr>
          <w:rFonts w:ascii="Times New Roman" w:eastAsia="楷体" w:hAnsi="Times New Roman" w:cs="Times New Roman (正文 CS 字体)"/>
        </w:rPr>
        <w:t>则称为异源双胞</w:t>
      </w:r>
      <w:r w:rsidRPr="00EC300B">
        <w:rPr>
          <w:rFonts w:ascii="Times New Roman" w:eastAsia="楷体" w:hAnsi="Times New Roman" w:cs="Times New Roman (正文 CS 字体)"/>
        </w:rPr>
        <w:t xml:space="preserve"> (heterotypic doublets) </w:t>
      </w:r>
    </w:p>
    <w:p w14:paraId="05B295AE" w14:textId="2F24E55E" w:rsidR="00D97FB8" w:rsidRPr="00D97FB8" w:rsidRDefault="00D97FB8" w:rsidP="00D97FB8">
      <w:pPr>
        <w:rPr>
          <w:rFonts w:ascii="Times New Roman" w:eastAsia="楷体" w:hAnsi="Times New Roman" w:cs="Times New Roman (正文 CS 字体)"/>
        </w:rPr>
      </w:pPr>
      <w:r>
        <w:rPr>
          <w:rFonts w:ascii="Times New Roman" w:eastAsia="楷体" w:hAnsi="Times New Roman" w:cs="Times New Roman (正文 CS 字体)"/>
        </w:rPr>
        <w:br w:type="page"/>
      </w:r>
    </w:p>
    <w:p w14:paraId="755E9D25" w14:textId="5C13AD0A" w:rsidR="00567700" w:rsidRPr="00D97FB8" w:rsidRDefault="00567700" w:rsidP="00FC432F">
      <w:pPr>
        <w:pStyle w:val="2"/>
      </w:pPr>
      <w:r w:rsidRPr="00D97FB8">
        <w:rPr>
          <w:rFonts w:hint="eastAsia"/>
        </w:rPr>
        <w:lastRenderedPageBreak/>
        <w:t>单细胞数据</w:t>
      </w:r>
      <w:r w:rsidR="00DF273F" w:rsidRPr="00D97FB8">
        <w:rPr>
          <w:rFonts w:hint="eastAsia"/>
        </w:rPr>
        <w:t>分析</w:t>
      </w:r>
      <w:r w:rsidRPr="00D97FB8">
        <w:rPr>
          <w:rFonts w:hint="eastAsia"/>
        </w:rPr>
        <w:t>：从</w:t>
      </w:r>
      <w:r w:rsidRPr="00D97FB8">
        <w:t>fastq</w:t>
      </w:r>
      <w:r w:rsidRPr="00D97FB8">
        <w:rPr>
          <w:rFonts w:hint="eastAsia"/>
        </w:rPr>
        <w:t>到</w:t>
      </w:r>
      <w:r w:rsidRPr="00D97FB8">
        <w:t>Count Matrix</w:t>
      </w:r>
    </w:p>
    <w:p w14:paraId="710B33DF" w14:textId="1C8CE378" w:rsidR="00AE7056" w:rsidRPr="00DF273F" w:rsidRDefault="00567700" w:rsidP="00AE7056">
      <w:pPr>
        <w:pStyle w:val="p1"/>
        <w:rPr>
          <w:rFonts w:ascii="Times New Roman" w:eastAsia="楷体" w:hAnsi="Times New Roman"/>
          <w:sz w:val="21"/>
          <w:szCs w:val="21"/>
        </w:rPr>
      </w:pPr>
      <w:r w:rsidRPr="00DF273F">
        <w:rPr>
          <w:rFonts w:ascii="Times New Roman" w:eastAsia="楷体" w:hAnsi="Times New Roman" w:hint="eastAsia"/>
          <w:sz w:val="21"/>
          <w:szCs w:val="21"/>
        </w:rPr>
        <w:t>‘</w:t>
      </w:r>
    </w:p>
    <w:p w14:paraId="52F63D93" w14:textId="3CBA97CE" w:rsidR="00567700" w:rsidRPr="00DF273F" w:rsidRDefault="00567700" w:rsidP="00567700">
      <w:pPr>
        <w:pStyle w:val="p1"/>
        <w:numPr>
          <w:ilvl w:val="0"/>
          <w:numId w:val="5"/>
        </w:numPr>
        <w:rPr>
          <w:rFonts w:ascii="Times New Roman" w:eastAsia="楷体" w:hAnsi="Times New Roman"/>
          <w:sz w:val="21"/>
          <w:szCs w:val="21"/>
        </w:rPr>
      </w:pPr>
      <w:r w:rsidRPr="00DF273F">
        <w:rPr>
          <w:rFonts w:ascii="Times New Roman" w:eastAsia="楷体" w:hAnsi="Times New Roman" w:hint="eastAsia"/>
          <w:sz w:val="21"/>
          <w:szCs w:val="21"/>
        </w:rPr>
        <w:t>关于参考基因组</w:t>
      </w:r>
    </w:p>
    <w:p w14:paraId="32ABF265" w14:textId="5CDA45F4" w:rsidR="00567700" w:rsidRPr="00567700" w:rsidRDefault="00567700" w:rsidP="00567700">
      <w:pPr>
        <w:pStyle w:val="p1"/>
        <w:numPr>
          <w:ilvl w:val="0"/>
          <w:numId w:val="7"/>
        </w:numPr>
        <w:rPr>
          <w:rFonts w:ascii="Times New Roman" w:eastAsia="楷体" w:hAnsi="Times New Roman" w:cs="宋体"/>
          <w:color w:val="000000"/>
          <w:sz w:val="21"/>
          <w:szCs w:val="21"/>
        </w:rPr>
      </w:pPr>
      <w:r w:rsidRPr="00DF273F">
        <w:rPr>
          <w:rFonts w:ascii="Times New Roman" w:eastAsia="楷体" w:hAnsi="Times New Roman" w:cs="宋体"/>
          <w:b/>
          <w:bCs/>
          <w:color w:val="FF0000"/>
          <w:sz w:val="21"/>
          <w:szCs w:val="21"/>
        </w:rPr>
        <w:t>two popular sources of assembly files:</w:t>
      </w:r>
      <w:r w:rsidRPr="00DF273F">
        <w:rPr>
          <w:rFonts w:ascii="Times New Roman" w:eastAsia="楷体" w:hAnsi="Times New Roman" w:cs="宋体" w:hint="eastAsia"/>
          <w:b/>
          <w:bCs/>
          <w:color w:val="FF0000"/>
          <w:sz w:val="21"/>
          <w:szCs w:val="21"/>
        </w:rPr>
        <w:t xml:space="preserve"> </w:t>
      </w:r>
      <w:r w:rsidRPr="00DF273F">
        <w:rPr>
          <w:rFonts w:ascii="Times New Roman" w:eastAsia="楷体" w:hAnsi="Times New Roman" w:cs="宋体"/>
          <w:color w:val="000000"/>
          <w:sz w:val="21"/>
          <w:szCs w:val="21"/>
        </w:rPr>
        <w:t>UCSC (their assemblies are</w:t>
      </w:r>
      <w:r w:rsidRPr="00DF273F">
        <w:rPr>
          <w:rFonts w:ascii="Times New Roman" w:eastAsia="楷体" w:hAnsi="Times New Roman" w:cs="宋体" w:hint="eastAsia"/>
          <w:color w:val="000000"/>
          <w:sz w:val="21"/>
          <w:szCs w:val="21"/>
        </w:rPr>
        <w:t xml:space="preserve"> </w:t>
      </w:r>
      <w:r w:rsidRPr="00DF273F">
        <w:rPr>
          <w:rFonts w:ascii="Times New Roman" w:eastAsia="楷体" w:hAnsi="Times New Roman" w:cs="宋体"/>
          <w:color w:val="000000"/>
          <w:sz w:val="21"/>
          <w:szCs w:val="21"/>
        </w:rPr>
        <w:t>named hg19, hg38, mm10, etc), and GRC (GRCh37, GRCh38, GRCm38)</w:t>
      </w:r>
      <w:r w:rsidRPr="00DF273F">
        <w:rPr>
          <w:rFonts w:ascii="Times New Roman" w:eastAsia="楷体" w:hAnsi="Times New Roman" w:cs="宋体" w:hint="eastAsia"/>
          <w:color w:val="000000"/>
          <w:sz w:val="21"/>
          <w:szCs w:val="21"/>
        </w:rPr>
        <w:t>这两个版本在染色体水平的序列区别不大，</w:t>
      </w:r>
      <w:r w:rsidRPr="00DF273F">
        <w:rPr>
          <w:rFonts w:ascii="Times New Roman" w:eastAsia="楷体" w:hAnsi="Times New Roman" w:cs="宋体"/>
          <w:color w:val="000000"/>
          <w:sz w:val="21"/>
          <w:szCs w:val="21"/>
        </w:rPr>
        <w:t>differ in additional contigs and</w:t>
      </w:r>
      <w:r w:rsidRPr="00DF273F">
        <w:rPr>
          <w:rFonts w:ascii="Times New Roman" w:eastAsia="楷体" w:hAnsi="Times New Roman" w:cs="宋体" w:hint="eastAsia"/>
          <w:color w:val="000000"/>
          <w:sz w:val="21"/>
          <w:szCs w:val="21"/>
        </w:rPr>
        <w:t xml:space="preserve"> </w:t>
      </w:r>
      <w:r w:rsidRPr="00567700">
        <w:rPr>
          <w:rFonts w:ascii="Times New Roman" w:eastAsia="楷体" w:hAnsi="Times New Roman" w:cs="宋体"/>
          <w:color w:val="000000"/>
          <w:sz w:val="21"/>
          <w:szCs w:val="21"/>
        </w:rPr>
        <w:t>so-called ALT loci,</w:t>
      </w:r>
    </w:p>
    <w:p w14:paraId="3317E03F" w14:textId="097EDD65" w:rsidR="00567700" w:rsidRPr="00DF273F" w:rsidRDefault="00567700" w:rsidP="00567700">
      <w:pPr>
        <w:rPr>
          <w:rFonts w:ascii="Times New Roman" w:eastAsia="楷体" w:hAnsi="Times New Roman"/>
          <w:color w:val="000000"/>
          <w:sz w:val="21"/>
          <w:szCs w:val="21"/>
        </w:rPr>
      </w:pPr>
    </w:p>
    <w:p w14:paraId="3628C6A1" w14:textId="0DED517C" w:rsidR="00567700" w:rsidRPr="00DF273F" w:rsidRDefault="00567700" w:rsidP="00567700">
      <w:pPr>
        <w:pStyle w:val="p1"/>
        <w:numPr>
          <w:ilvl w:val="0"/>
          <w:numId w:val="5"/>
        </w:numPr>
        <w:rPr>
          <w:rFonts w:ascii="Times New Roman" w:eastAsia="楷体" w:hAnsi="Times New Roman"/>
          <w:sz w:val="21"/>
          <w:szCs w:val="21"/>
        </w:rPr>
      </w:pPr>
      <w:r w:rsidRPr="00DF273F">
        <w:rPr>
          <w:rFonts w:ascii="Times New Roman" w:eastAsia="楷体" w:hAnsi="Times New Roman" w:hint="eastAsia"/>
          <w:sz w:val="21"/>
          <w:szCs w:val="21"/>
        </w:rPr>
        <w:t>关于注释文件</w:t>
      </w:r>
    </w:p>
    <w:p w14:paraId="7165F505" w14:textId="5AB643E4" w:rsidR="00567700" w:rsidRPr="00DF273F" w:rsidRDefault="00567700" w:rsidP="00567700">
      <w:pPr>
        <w:pStyle w:val="p1"/>
        <w:numPr>
          <w:ilvl w:val="0"/>
          <w:numId w:val="6"/>
        </w:numPr>
        <w:rPr>
          <w:rFonts w:ascii="Times New Roman" w:eastAsia="楷体" w:hAnsi="Times New Roman" w:cs="宋体"/>
          <w:color w:val="000000"/>
          <w:sz w:val="21"/>
          <w:szCs w:val="21"/>
        </w:rPr>
      </w:pPr>
      <w:r w:rsidRPr="00DF273F">
        <w:rPr>
          <w:rFonts w:ascii="Times New Roman" w:eastAsia="楷体" w:hAnsi="Times New Roman" w:cs="宋体"/>
          <w:color w:val="000000"/>
          <w:sz w:val="21"/>
          <w:szCs w:val="21"/>
        </w:rPr>
        <w:t>human and mouse genome annotation are RefSeq, ENSEMBL, and GENCODE. </w:t>
      </w:r>
    </w:p>
    <w:p w14:paraId="59BCF83D" w14:textId="284AC404" w:rsidR="00567700" w:rsidRPr="00DF273F" w:rsidRDefault="00567700" w:rsidP="00567700">
      <w:pPr>
        <w:pStyle w:val="a9"/>
        <w:widowControl/>
        <w:numPr>
          <w:ilvl w:val="0"/>
          <w:numId w:val="6"/>
        </w:numPr>
        <w:spacing w:after="0" w:line="240" w:lineRule="auto"/>
        <w:rPr>
          <w:rFonts w:ascii="Times New Roman" w:eastAsia="楷体" w:hAnsi="Times New Roman" w:cs="宋体"/>
          <w:color w:val="000000"/>
          <w:kern w:val="0"/>
          <w:sz w:val="21"/>
          <w:szCs w:val="21"/>
          <w14:ligatures w14:val="none"/>
        </w:rPr>
      </w:pPr>
      <w:r w:rsidRPr="00DF273F">
        <w:rPr>
          <w:rFonts w:ascii="Times New Roman" w:eastAsia="楷体" w:hAnsi="Times New Roman" w:cs="宋体"/>
          <w:color w:val="000000"/>
          <w:kern w:val="0"/>
          <w:sz w:val="21"/>
          <w:szCs w:val="21"/>
          <w14:ligatures w14:val="none"/>
        </w:rPr>
        <w:t>Current ENSEMBL/GENCODE annotation of the human genome contains approximately 60k genes, 20k of which are protein coding, and 237k transcripts.</w:t>
      </w:r>
    </w:p>
    <w:p w14:paraId="77505808" w14:textId="08880F8A" w:rsidR="00567700" w:rsidRPr="00DF273F" w:rsidRDefault="00567700" w:rsidP="00567700">
      <w:pPr>
        <w:pStyle w:val="a9"/>
        <w:widowControl/>
        <w:numPr>
          <w:ilvl w:val="0"/>
          <w:numId w:val="6"/>
        </w:numPr>
        <w:spacing w:after="0" w:line="240" w:lineRule="auto"/>
        <w:rPr>
          <w:rFonts w:ascii="Times New Roman" w:eastAsia="楷体" w:hAnsi="Times New Roman" w:cs="宋体"/>
          <w:color w:val="000000"/>
          <w:kern w:val="0"/>
          <w:sz w:val="21"/>
          <w:szCs w:val="21"/>
          <w14:ligatures w14:val="none"/>
        </w:rPr>
      </w:pPr>
      <w:r w:rsidRPr="00DF273F">
        <w:rPr>
          <w:rFonts w:ascii="Times New Roman" w:eastAsia="楷体" w:hAnsi="Times New Roman" w:cs="宋体" w:hint="eastAsia"/>
          <w:color w:val="000000"/>
          <w:kern w:val="0"/>
          <w:sz w:val="21"/>
          <w:szCs w:val="21"/>
          <w14:ligatures w14:val="none"/>
        </w:rPr>
        <w:t>简单的来讲大多数基因可以分为：</w:t>
      </w:r>
      <w:r w:rsidRPr="00DF273F">
        <w:rPr>
          <w:rFonts w:ascii="Times New Roman" w:eastAsia="楷体" w:hAnsi="Times New Roman" w:cs="宋体"/>
          <w:color w:val="000000"/>
          <w:kern w:val="0"/>
          <w:sz w:val="21"/>
          <w:szCs w:val="21"/>
          <w14:ligatures w14:val="none"/>
        </w:rPr>
        <w:t>protein coding genes, long</w:t>
      </w:r>
      <w:r w:rsidRPr="00DF273F">
        <w:rPr>
          <w:rFonts w:ascii="Times New Roman" w:eastAsia="楷体" w:hAnsi="Times New Roman" w:cs="宋体" w:hint="eastAsia"/>
          <w:color w:val="000000"/>
          <w:kern w:val="0"/>
          <w:sz w:val="21"/>
          <w:szCs w:val="21"/>
          <w14:ligatures w14:val="none"/>
        </w:rPr>
        <w:t xml:space="preserve"> </w:t>
      </w:r>
      <w:r w:rsidRPr="00DF273F">
        <w:rPr>
          <w:rFonts w:ascii="Times New Roman" w:eastAsia="楷体" w:hAnsi="Times New Roman" w:cs="宋体"/>
          <w:color w:val="000000"/>
          <w:kern w:val="0"/>
          <w:sz w:val="21"/>
          <w:szCs w:val="21"/>
          <w14:ligatures w14:val="none"/>
        </w:rPr>
        <w:t>noncoding RNAs, short noncoding RNAs, and pseudogenes.</w:t>
      </w:r>
    </w:p>
    <w:p w14:paraId="3962AC1F" w14:textId="2430714B" w:rsidR="002B3098" w:rsidRPr="002B3098" w:rsidRDefault="00E55C6D" w:rsidP="002B3098">
      <w:pPr>
        <w:pStyle w:val="p1"/>
        <w:numPr>
          <w:ilvl w:val="0"/>
          <w:numId w:val="6"/>
        </w:numPr>
        <w:rPr>
          <w:rFonts w:ascii="Times New Roman" w:eastAsia="楷体" w:hAnsi="Times New Roman" w:cs="宋体"/>
          <w:color w:val="FF0000"/>
          <w:sz w:val="21"/>
          <w:szCs w:val="21"/>
        </w:rPr>
      </w:pPr>
      <w:r w:rsidRPr="00DF273F">
        <w:rPr>
          <w:rFonts w:ascii="Times New Roman" w:eastAsia="楷体" w:hAnsi="Times New Roman" w:cs="宋体" w:hint="eastAsia"/>
          <w:color w:val="FF0000"/>
          <w:sz w:val="21"/>
          <w:szCs w:val="21"/>
        </w:rPr>
        <w:t>在</w:t>
      </w:r>
      <w:r w:rsidRPr="00DF273F">
        <w:rPr>
          <w:rFonts w:ascii="Times New Roman" w:eastAsia="楷体" w:hAnsi="Times New Roman" w:cs="宋体"/>
          <w:color w:val="FF0000"/>
          <w:sz w:val="21"/>
          <w:szCs w:val="21"/>
        </w:rPr>
        <w:t>cell ranger</w:t>
      </w:r>
      <w:r w:rsidRPr="00DF273F">
        <w:rPr>
          <w:rFonts w:ascii="Times New Roman" w:eastAsia="楷体" w:hAnsi="Times New Roman" w:cs="宋体" w:hint="eastAsia"/>
          <w:color w:val="FF0000"/>
          <w:sz w:val="21"/>
          <w:szCs w:val="21"/>
        </w:rPr>
        <w:t>中</w:t>
      </w:r>
      <w:r w:rsidR="002B3098" w:rsidRPr="00DF273F">
        <w:rPr>
          <w:rFonts w:ascii="Times New Roman" w:eastAsia="楷体" w:hAnsi="Times New Roman" w:cs="宋体" w:hint="eastAsia"/>
          <w:color w:val="FF0000"/>
          <w:sz w:val="21"/>
          <w:szCs w:val="21"/>
        </w:rPr>
        <w:t>保留了</w:t>
      </w:r>
      <w:r w:rsidR="002B3098" w:rsidRPr="00DF273F">
        <w:rPr>
          <w:rFonts w:ascii="Times New Roman" w:eastAsia="楷体" w:hAnsi="Times New Roman" w:cs="宋体"/>
          <w:color w:val="FF0000"/>
          <w:sz w:val="21"/>
          <w:szCs w:val="21"/>
        </w:rPr>
        <w:t xml:space="preserve"> protein coding, long noncoding</w:t>
      </w:r>
      <w:r w:rsidR="002B3098" w:rsidRPr="00DF273F">
        <w:rPr>
          <w:rFonts w:ascii="Times New Roman" w:eastAsia="楷体" w:hAnsi="Times New Roman" w:cs="宋体" w:hint="eastAsia"/>
          <w:color w:val="FF0000"/>
          <w:sz w:val="21"/>
          <w:szCs w:val="21"/>
        </w:rPr>
        <w:t xml:space="preserve"> </w:t>
      </w:r>
      <w:r w:rsidR="002B3098" w:rsidRPr="002B3098">
        <w:rPr>
          <w:rFonts w:ascii="Times New Roman" w:eastAsia="楷体" w:hAnsi="Times New Roman" w:cs="宋体"/>
          <w:color w:val="FF0000"/>
          <w:sz w:val="21"/>
          <w:szCs w:val="21"/>
        </w:rPr>
        <w:t xml:space="preserve">RNA, antisense, and all biotypes belonging to BCR/TCR (i.e. V/D/J) </w:t>
      </w:r>
      <w:r w:rsidR="002B3098" w:rsidRPr="00DF273F">
        <w:rPr>
          <w:rFonts w:ascii="Times New Roman" w:eastAsia="楷体" w:hAnsi="Times New Roman" w:cs="宋体"/>
          <w:color w:val="FF0000"/>
          <w:sz w:val="21"/>
          <w:szCs w:val="21"/>
        </w:rPr>
        <w:t>genes (</w:t>
      </w:r>
      <w:r w:rsidR="002B3098" w:rsidRPr="002B3098">
        <w:rPr>
          <w:rFonts w:ascii="Times New Roman" w:eastAsia="楷体" w:hAnsi="Times New Roman" w:cs="宋体"/>
          <w:color w:val="FF0000"/>
          <w:sz w:val="21"/>
          <w:szCs w:val="21"/>
        </w:rPr>
        <w:t>note that older Cell Ranger reference versions do not include the latter). All</w:t>
      </w:r>
      <w:r w:rsidR="002B3098" w:rsidRPr="00DF273F">
        <w:rPr>
          <w:rFonts w:ascii="Times New Roman" w:eastAsia="楷体" w:hAnsi="Times New Roman" w:cs="宋体" w:hint="eastAsia"/>
          <w:color w:val="FF0000"/>
          <w:sz w:val="21"/>
          <w:szCs w:val="21"/>
        </w:rPr>
        <w:t xml:space="preserve"> </w:t>
      </w:r>
      <w:r w:rsidR="002B3098" w:rsidRPr="002B3098">
        <w:rPr>
          <w:rFonts w:ascii="Times New Roman" w:eastAsia="楷体" w:hAnsi="Times New Roman" w:cs="宋体"/>
          <w:color w:val="FF0000"/>
          <w:sz w:val="21"/>
          <w:szCs w:val="21"/>
        </w:rPr>
        <w:t>pseudogenes and small noncoding RNAs are removed.</w:t>
      </w:r>
    </w:p>
    <w:p w14:paraId="3B927EB9" w14:textId="1971E9DF" w:rsidR="00567700" w:rsidRPr="00DF273F" w:rsidRDefault="00567700" w:rsidP="00567700">
      <w:pPr>
        <w:pStyle w:val="p1"/>
        <w:rPr>
          <w:rFonts w:ascii="Times New Roman" w:eastAsia="楷体" w:hAnsi="Times New Roman" w:cs="宋体"/>
          <w:color w:val="000000"/>
          <w:sz w:val="21"/>
          <w:szCs w:val="21"/>
        </w:rPr>
      </w:pPr>
    </w:p>
    <w:p w14:paraId="4C975FE1" w14:textId="1B862887" w:rsidR="00FE38C1" w:rsidRPr="00DF273F" w:rsidRDefault="00FE38C1" w:rsidP="001F5CA0">
      <w:pPr>
        <w:pStyle w:val="a9"/>
        <w:widowControl/>
        <w:numPr>
          <w:ilvl w:val="0"/>
          <w:numId w:val="5"/>
        </w:numPr>
        <w:spacing w:after="0" w:line="240" w:lineRule="auto"/>
        <w:rPr>
          <w:rFonts w:ascii="Times New Roman" w:eastAsia="楷体" w:hAnsi="Times New Roman" w:cs="宋体"/>
          <w:color w:val="000000"/>
          <w:kern w:val="0"/>
          <w:sz w:val="21"/>
          <w:szCs w:val="21"/>
          <w14:ligatures w14:val="none"/>
        </w:rPr>
      </w:pPr>
      <w:r w:rsidRPr="00DF273F">
        <w:rPr>
          <w:rFonts w:ascii="Times New Roman" w:eastAsia="楷体" w:hAnsi="Times New Roman" w:cs="宋体" w:hint="eastAsia"/>
          <w:color w:val="000000"/>
          <w:kern w:val="0"/>
          <w:sz w:val="21"/>
          <w:szCs w:val="21"/>
          <w14:ligatures w14:val="none"/>
        </w:rPr>
        <w:t>典型的单细胞数据预处理分析流程包含</w:t>
      </w:r>
      <w:r w:rsidRPr="00DF273F">
        <w:rPr>
          <w:rFonts w:ascii="Times New Roman" w:eastAsia="楷体" w:hAnsi="Times New Roman" w:cs="宋体" w:hint="eastAsia"/>
          <w:color w:val="000000"/>
          <w:kern w:val="0"/>
          <w:sz w:val="21"/>
          <w:szCs w:val="21"/>
          <w14:ligatures w14:val="none"/>
        </w:rPr>
        <w:t>4</w:t>
      </w:r>
      <w:r w:rsidRPr="00DF273F">
        <w:rPr>
          <w:rFonts w:ascii="Times New Roman" w:eastAsia="楷体" w:hAnsi="Times New Roman" w:cs="宋体" w:hint="eastAsia"/>
          <w:color w:val="000000"/>
          <w:kern w:val="0"/>
          <w:sz w:val="21"/>
          <w:szCs w:val="21"/>
          <w14:ligatures w14:val="none"/>
        </w:rPr>
        <w:t>个步骤：</w:t>
      </w:r>
    </w:p>
    <w:p w14:paraId="7359AF0E" w14:textId="2AB7146D" w:rsidR="00FE38C1" w:rsidRPr="00DF273F" w:rsidRDefault="00FE38C1" w:rsidP="001F5CA0">
      <w:pPr>
        <w:pStyle w:val="a9"/>
        <w:widowControl/>
        <w:numPr>
          <w:ilvl w:val="0"/>
          <w:numId w:val="6"/>
        </w:numPr>
        <w:spacing w:after="0" w:line="240" w:lineRule="auto"/>
        <w:rPr>
          <w:rFonts w:ascii="Times New Roman" w:eastAsia="楷体" w:hAnsi="Times New Roman" w:cs="宋体"/>
          <w:color w:val="000000"/>
          <w:kern w:val="0"/>
          <w:sz w:val="21"/>
          <w:szCs w:val="21"/>
          <w14:ligatures w14:val="none"/>
        </w:rPr>
      </w:pPr>
      <w:r w:rsidRPr="00DF273F">
        <w:rPr>
          <w:rFonts w:ascii="Times New Roman" w:eastAsia="楷体" w:hAnsi="Times New Roman" w:cs="宋体"/>
          <w:color w:val="000000"/>
          <w:kern w:val="0"/>
          <w:sz w:val="21"/>
          <w:szCs w:val="21"/>
          <w14:ligatures w14:val="none"/>
        </w:rPr>
        <w:t>Mapping the cDNA fragments to a reference.</w:t>
      </w:r>
    </w:p>
    <w:p w14:paraId="529D9B34" w14:textId="70895830" w:rsidR="00FE38C1" w:rsidRPr="00DF273F" w:rsidRDefault="00FE38C1" w:rsidP="001F5CA0">
      <w:pPr>
        <w:pStyle w:val="a9"/>
        <w:widowControl/>
        <w:numPr>
          <w:ilvl w:val="0"/>
          <w:numId w:val="6"/>
        </w:numPr>
        <w:spacing w:after="0" w:line="240" w:lineRule="auto"/>
        <w:rPr>
          <w:rFonts w:ascii="Times New Roman" w:eastAsia="楷体" w:hAnsi="Times New Roman" w:cs="宋体"/>
          <w:color w:val="000000"/>
          <w:kern w:val="0"/>
          <w:sz w:val="21"/>
          <w:szCs w:val="21"/>
          <w14:ligatures w14:val="none"/>
        </w:rPr>
      </w:pPr>
      <w:r w:rsidRPr="00DF273F">
        <w:rPr>
          <w:rFonts w:ascii="Times New Roman" w:eastAsia="楷体" w:hAnsi="Times New Roman" w:cs="宋体"/>
          <w:color w:val="000000"/>
          <w:kern w:val="0"/>
          <w:sz w:val="21"/>
          <w:szCs w:val="21"/>
          <w14:ligatures w14:val="none"/>
        </w:rPr>
        <w:t>Assigning reads to genes.</w:t>
      </w:r>
    </w:p>
    <w:p w14:paraId="0358021F" w14:textId="7417A4D6" w:rsidR="00FE38C1" w:rsidRPr="00DF273F" w:rsidRDefault="00FE38C1" w:rsidP="001F5CA0">
      <w:pPr>
        <w:pStyle w:val="a9"/>
        <w:widowControl/>
        <w:numPr>
          <w:ilvl w:val="0"/>
          <w:numId w:val="6"/>
        </w:numPr>
        <w:spacing w:after="0" w:line="240" w:lineRule="auto"/>
        <w:rPr>
          <w:rFonts w:ascii="Times New Roman" w:eastAsia="楷体" w:hAnsi="Times New Roman" w:cs="宋体"/>
          <w:color w:val="000000"/>
          <w:kern w:val="0"/>
          <w:sz w:val="21"/>
          <w:szCs w:val="21"/>
          <w14:ligatures w14:val="none"/>
        </w:rPr>
      </w:pPr>
      <w:r w:rsidRPr="00DF273F">
        <w:rPr>
          <w:rFonts w:ascii="Times New Roman" w:eastAsia="楷体" w:hAnsi="Times New Roman" w:cs="宋体"/>
          <w:color w:val="000000"/>
          <w:kern w:val="0"/>
          <w:sz w:val="21"/>
          <w:szCs w:val="21"/>
          <w14:ligatures w14:val="none"/>
        </w:rPr>
        <w:t>Assigning reads to cells (cell barcode demultiplexing)</w:t>
      </w:r>
    </w:p>
    <w:p w14:paraId="625605C6" w14:textId="52146947" w:rsidR="00FE38C1" w:rsidRPr="00DF273F" w:rsidRDefault="00FE38C1" w:rsidP="001F5CA0">
      <w:pPr>
        <w:pStyle w:val="a9"/>
        <w:widowControl/>
        <w:numPr>
          <w:ilvl w:val="0"/>
          <w:numId w:val="6"/>
        </w:numPr>
        <w:spacing w:after="0" w:line="240" w:lineRule="auto"/>
        <w:rPr>
          <w:rFonts w:ascii="Times New Roman" w:eastAsia="楷体" w:hAnsi="Times New Roman" w:cs="宋体"/>
          <w:color w:val="000000"/>
          <w:kern w:val="0"/>
          <w:sz w:val="21"/>
          <w:szCs w:val="21"/>
          <w14:ligatures w14:val="none"/>
        </w:rPr>
      </w:pPr>
      <w:r w:rsidRPr="00DF273F">
        <w:rPr>
          <w:rFonts w:ascii="Times New Roman" w:eastAsia="楷体" w:hAnsi="Times New Roman" w:cs="宋体"/>
          <w:color w:val="000000"/>
          <w:kern w:val="0"/>
          <w:sz w:val="21"/>
          <w:szCs w:val="21"/>
          <w14:ligatures w14:val="none"/>
        </w:rPr>
        <w:t>Counting the number of unique RNA molecules (UMI deduplication)</w:t>
      </w:r>
    </w:p>
    <w:p w14:paraId="7FEEF437" w14:textId="77777777" w:rsidR="008B3E76" w:rsidRPr="00DF273F" w:rsidRDefault="008B3E76" w:rsidP="008B3E76">
      <w:pPr>
        <w:rPr>
          <w:rFonts w:ascii="Times New Roman" w:eastAsia="楷体" w:hAnsi="Times New Roman"/>
          <w:color w:val="000000"/>
          <w:sz w:val="21"/>
          <w:szCs w:val="21"/>
        </w:rPr>
      </w:pPr>
    </w:p>
    <w:p w14:paraId="2B8E34D7" w14:textId="6D67DE7D" w:rsidR="008B3E76" w:rsidRPr="00DF273F" w:rsidRDefault="008B3E76" w:rsidP="008B3E76">
      <w:pPr>
        <w:pStyle w:val="a9"/>
        <w:widowControl/>
        <w:numPr>
          <w:ilvl w:val="0"/>
          <w:numId w:val="5"/>
        </w:numPr>
        <w:spacing w:after="0" w:line="240" w:lineRule="auto"/>
        <w:rPr>
          <w:rFonts w:ascii="Times New Roman" w:eastAsia="楷体" w:hAnsi="Times New Roman" w:cs="宋体"/>
          <w:color w:val="000000"/>
          <w:kern w:val="0"/>
          <w:sz w:val="21"/>
          <w:szCs w:val="21"/>
          <w14:ligatures w14:val="none"/>
        </w:rPr>
      </w:pPr>
      <w:r w:rsidRPr="00DF273F">
        <w:rPr>
          <w:rFonts w:ascii="Times New Roman" w:eastAsia="楷体" w:hAnsi="Times New Roman" w:cs="宋体" w:hint="eastAsia"/>
          <w:color w:val="000000"/>
          <w:kern w:val="0"/>
          <w:sz w:val="21"/>
          <w:szCs w:val="21"/>
          <w14:ligatures w14:val="none"/>
        </w:rPr>
        <w:t>几款单细胞数据分析比对软件的比较</w:t>
      </w:r>
    </w:p>
    <w:p w14:paraId="1435B82E" w14:textId="6F75A72A" w:rsidR="00567700" w:rsidRPr="00DF273F" w:rsidRDefault="00567700" w:rsidP="00FE38C1">
      <w:pPr>
        <w:rPr>
          <w:rFonts w:ascii="Times New Roman" w:eastAsia="楷体" w:hAnsi="Times New Roman"/>
          <w:color w:val="000000"/>
          <w:sz w:val="21"/>
          <w:szCs w:val="21"/>
        </w:rPr>
      </w:pPr>
    </w:p>
    <w:p w14:paraId="2D698630" w14:textId="5613D9B5" w:rsidR="00567700" w:rsidRPr="00DF273F" w:rsidRDefault="00145AE0" w:rsidP="00567700">
      <w:pPr>
        <w:pStyle w:val="p1"/>
        <w:rPr>
          <w:rFonts w:ascii="Times New Roman" w:eastAsia="楷体" w:hAnsi="Times New Roman"/>
          <w:sz w:val="21"/>
          <w:szCs w:val="21"/>
        </w:rPr>
      </w:pPr>
      <w:r w:rsidRPr="00DF273F">
        <w:rPr>
          <w:rFonts w:ascii="Times New Roman" w:eastAsia="楷体" w:hAnsi="Times New Roman" w:hint="eastAsia"/>
          <w:noProof/>
          <w:sz w:val="21"/>
          <w:szCs w:val="21"/>
          <w14:ligatures w14:val="standardContextual"/>
        </w:rPr>
        <w:lastRenderedPageBreak/>
        <w:drawing>
          <wp:inline distT="0" distB="0" distL="0" distR="0" wp14:anchorId="5293D124" wp14:editId="0C2A0A81">
            <wp:extent cx="4965700" cy="4457700"/>
            <wp:effectExtent l="0" t="0" r="0" b="0"/>
            <wp:docPr id="717552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52212" name="图片 717552212"/>
                    <pic:cNvPicPr/>
                  </pic:nvPicPr>
                  <pic:blipFill>
                    <a:blip r:embed="rId10">
                      <a:extLst>
                        <a:ext uri="{28A0092B-C50C-407E-A947-70E740481C1C}">
                          <a14:useLocalDpi xmlns:a14="http://schemas.microsoft.com/office/drawing/2010/main" val="0"/>
                        </a:ext>
                      </a:extLst>
                    </a:blip>
                    <a:stretch>
                      <a:fillRect/>
                    </a:stretch>
                  </pic:blipFill>
                  <pic:spPr>
                    <a:xfrm>
                      <a:off x="0" y="0"/>
                      <a:ext cx="4965700" cy="4457700"/>
                    </a:xfrm>
                    <a:prstGeom prst="rect">
                      <a:avLst/>
                    </a:prstGeom>
                  </pic:spPr>
                </pic:pic>
              </a:graphicData>
            </a:graphic>
          </wp:inline>
        </w:drawing>
      </w:r>
    </w:p>
    <w:p w14:paraId="1029CE9E" w14:textId="3E6AE2CF" w:rsidR="008B3E76" w:rsidRPr="00DF273F" w:rsidRDefault="008B3E76" w:rsidP="00696EF1">
      <w:pPr>
        <w:pStyle w:val="a9"/>
        <w:widowControl/>
        <w:numPr>
          <w:ilvl w:val="0"/>
          <w:numId w:val="6"/>
        </w:numPr>
        <w:spacing w:after="0" w:line="240" w:lineRule="auto"/>
        <w:rPr>
          <w:rFonts w:ascii="Times New Roman" w:eastAsia="楷体" w:hAnsi="Times New Roman" w:cs="宋体"/>
          <w:color w:val="000000"/>
          <w:kern w:val="0"/>
          <w:sz w:val="21"/>
          <w:szCs w:val="21"/>
          <w14:ligatures w14:val="none"/>
        </w:rPr>
      </w:pPr>
      <w:r w:rsidRPr="00DF273F">
        <w:rPr>
          <w:rFonts w:ascii="Times New Roman" w:eastAsia="楷体" w:hAnsi="Times New Roman" w:cs="宋体"/>
          <w:color w:val="000000"/>
          <w:kern w:val="0"/>
          <w:sz w:val="21"/>
          <w:szCs w:val="21"/>
          <w14:ligatures w14:val="none"/>
        </w:rPr>
        <w:t>STARsolo and Alevin-full_decoy offer great computational</w:t>
      </w:r>
      <w:r w:rsidRPr="00DF273F">
        <w:rPr>
          <w:rFonts w:ascii="Times New Roman" w:eastAsia="楷体" w:hAnsi="Times New Roman" w:cs="宋体" w:hint="eastAsia"/>
          <w:color w:val="000000"/>
          <w:kern w:val="0"/>
          <w:sz w:val="21"/>
          <w:szCs w:val="21"/>
          <w14:ligatures w14:val="none"/>
        </w:rPr>
        <w:t xml:space="preserve"> </w:t>
      </w:r>
      <w:r w:rsidRPr="00DF273F">
        <w:rPr>
          <w:rFonts w:ascii="Times New Roman" w:eastAsia="楷体" w:hAnsi="Times New Roman" w:cs="宋体"/>
          <w:color w:val="000000"/>
          <w:kern w:val="0"/>
          <w:sz w:val="21"/>
          <w:szCs w:val="21"/>
          <w14:ligatures w14:val="none"/>
        </w:rPr>
        <w:t>speed-up and correct processing of multimappers, which reduces the quantification bias while retaining very high compatibility with Cell Ranger.</w:t>
      </w:r>
    </w:p>
    <w:p w14:paraId="50612E08" w14:textId="7B1FA025" w:rsidR="00230262" w:rsidRDefault="00DF273F" w:rsidP="00DF273F">
      <w:pPr>
        <w:pStyle w:val="p1"/>
        <w:numPr>
          <w:ilvl w:val="0"/>
          <w:numId w:val="6"/>
        </w:numPr>
        <w:rPr>
          <w:rFonts w:ascii="Times New Roman" w:eastAsia="楷体" w:hAnsi="Times New Roman" w:cs="宋体"/>
          <w:color w:val="000000"/>
          <w:sz w:val="21"/>
          <w:szCs w:val="21"/>
        </w:rPr>
      </w:pPr>
      <w:r w:rsidRPr="00DF273F">
        <w:rPr>
          <w:rFonts w:ascii="Times New Roman" w:eastAsia="楷体" w:hAnsi="Times New Roman" w:cs="宋体" w:hint="eastAsia"/>
          <w:color w:val="000000"/>
          <w:sz w:val="21"/>
          <w:szCs w:val="21"/>
        </w:rPr>
        <w:t>如果没生信经验就用</w:t>
      </w:r>
      <w:r w:rsidRPr="00DF273F">
        <w:rPr>
          <w:rFonts w:ascii="Times New Roman" w:eastAsia="楷体" w:hAnsi="Times New Roman" w:cs="宋体"/>
          <w:color w:val="000000"/>
          <w:sz w:val="21"/>
          <w:szCs w:val="21"/>
        </w:rPr>
        <w:t>cell ranger</w:t>
      </w:r>
      <w:r w:rsidR="00230262">
        <w:rPr>
          <w:rFonts w:ascii="Times New Roman" w:eastAsia="楷体" w:hAnsi="Times New Roman" w:cs="宋体" w:hint="eastAsia"/>
          <w:color w:val="000000"/>
          <w:sz w:val="21"/>
          <w:szCs w:val="21"/>
        </w:rPr>
        <w:t>，能用最新版就用最新版本，如下图</w:t>
      </w:r>
    </w:p>
    <w:p w14:paraId="3593656D" w14:textId="728BD5BA" w:rsidR="00230262" w:rsidRDefault="00230262" w:rsidP="00230262">
      <w:pPr>
        <w:pStyle w:val="p1"/>
        <w:rPr>
          <w:rFonts w:ascii="Times New Roman" w:eastAsia="楷体" w:hAnsi="Times New Roman" w:cs="宋体"/>
          <w:color w:val="000000"/>
          <w:sz w:val="21"/>
          <w:szCs w:val="21"/>
        </w:rPr>
      </w:pPr>
      <w:r>
        <w:rPr>
          <w:rFonts w:ascii="Times New Roman" w:eastAsia="楷体" w:hAnsi="Times New Roman" w:cs="宋体" w:hint="eastAsia"/>
          <w:noProof/>
          <w:color w:val="000000"/>
          <w:sz w:val="21"/>
          <w:szCs w:val="21"/>
          <w14:ligatures w14:val="standardContextual"/>
        </w:rPr>
        <w:drawing>
          <wp:inline distT="0" distB="0" distL="0" distR="0" wp14:anchorId="799325DF" wp14:editId="16001F57">
            <wp:extent cx="5274310" cy="1969135"/>
            <wp:effectExtent l="0" t="0" r="0" b="0"/>
            <wp:docPr id="334292811" name="图片 3" descr="图形用户界面, 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92811" name="图片 3" descr="图形用户界面, 图表&#10;&#10;AI 生成的内容可能不正确。"/>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969135"/>
                    </a:xfrm>
                    <a:prstGeom prst="rect">
                      <a:avLst/>
                    </a:prstGeom>
                  </pic:spPr>
                </pic:pic>
              </a:graphicData>
            </a:graphic>
          </wp:inline>
        </w:drawing>
      </w:r>
    </w:p>
    <w:p w14:paraId="25779FF6" w14:textId="7FAD5A06" w:rsidR="008B3E76" w:rsidRPr="00230262" w:rsidRDefault="00230262" w:rsidP="007C4587">
      <w:pPr>
        <w:pStyle w:val="p1"/>
        <w:numPr>
          <w:ilvl w:val="0"/>
          <w:numId w:val="6"/>
        </w:numPr>
        <w:rPr>
          <w:rFonts w:ascii="Times New Roman" w:eastAsia="楷体" w:hAnsi="Times New Roman"/>
          <w:sz w:val="21"/>
          <w:szCs w:val="21"/>
        </w:rPr>
      </w:pPr>
      <w:r w:rsidRPr="00230262">
        <w:rPr>
          <w:rFonts w:ascii="Times New Roman" w:eastAsia="楷体" w:hAnsi="Times New Roman" w:cs="宋体"/>
          <w:color w:val="000000"/>
          <w:sz w:val="21"/>
          <w:szCs w:val="21"/>
        </w:rPr>
        <w:t xml:space="preserve">Cell Ranger </w:t>
      </w:r>
      <w:r w:rsidRPr="00230262">
        <w:rPr>
          <w:rFonts w:ascii="Times New Roman" w:eastAsia="楷体" w:hAnsi="Times New Roman" w:cs="宋体"/>
          <w:color w:val="000000"/>
          <w:sz w:val="21"/>
          <w:szCs w:val="21"/>
        </w:rPr>
        <w:t>使用转录本注释</w:t>
      </w:r>
      <w:r w:rsidRPr="00230262">
        <w:rPr>
          <w:rFonts w:ascii="Times New Roman" w:eastAsia="楷体" w:hAnsi="Times New Roman" w:cs="宋体"/>
          <w:color w:val="000000"/>
          <w:sz w:val="21"/>
          <w:szCs w:val="21"/>
        </w:rPr>
        <w:t xml:space="preserve"> GTF </w:t>
      </w:r>
      <w:r w:rsidRPr="00230262">
        <w:rPr>
          <w:rFonts w:ascii="Times New Roman" w:eastAsia="楷体" w:hAnsi="Times New Roman" w:cs="宋体"/>
          <w:color w:val="000000"/>
          <w:sz w:val="21"/>
          <w:szCs w:val="21"/>
        </w:rPr>
        <w:t>文件将</w:t>
      </w:r>
      <w:r w:rsidRPr="00230262">
        <w:rPr>
          <w:rFonts w:ascii="Times New Roman" w:eastAsia="楷体" w:hAnsi="Times New Roman" w:cs="宋体"/>
          <w:color w:val="000000"/>
          <w:sz w:val="21"/>
          <w:szCs w:val="21"/>
        </w:rPr>
        <w:t xml:space="preserve"> reads </w:t>
      </w:r>
      <w:r w:rsidRPr="00230262">
        <w:rPr>
          <w:rFonts w:ascii="Times New Roman" w:eastAsia="楷体" w:hAnsi="Times New Roman" w:cs="宋体"/>
          <w:color w:val="000000"/>
          <w:sz w:val="21"/>
          <w:szCs w:val="21"/>
        </w:rPr>
        <w:t>分类为外显子区（</w:t>
      </w:r>
      <w:r w:rsidRPr="00230262">
        <w:rPr>
          <w:rFonts w:ascii="Times New Roman" w:eastAsia="楷体" w:hAnsi="Times New Roman" w:cs="宋体"/>
          <w:color w:val="000000"/>
          <w:sz w:val="21"/>
          <w:szCs w:val="21"/>
        </w:rPr>
        <w:t>exonic</w:t>
      </w:r>
      <w:r w:rsidRPr="00230262">
        <w:rPr>
          <w:rFonts w:ascii="Times New Roman" w:eastAsia="楷体" w:hAnsi="Times New Roman" w:cs="宋体"/>
          <w:color w:val="000000"/>
          <w:sz w:val="21"/>
          <w:szCs w:val="21"/>
        </w:rPr>
        <w:t>）、内含子区（</w:t>
      </w:r>
      <w:r w:rsidRPr="00230262">
        <w:rPr>
          <w:rFonts w:ascii="Times New Roman" w:eastAsia="楷体" w:hAnsi="Times New Roman" w:cs="宋体"/>
          <w:color w:val="000000"/>
          <w:sz w:val="21"/>
          <w:szCs w:val="21"/>
        </w:rPr>
        <w:t>intronic</w:t>
      </w:r>
      <w:r w:rsidRPr="00230262">
        <w:rPr>
          <w:rFonts w:ascii="Times New Roman" w:eastAsia="楷体" w:hAnsi="Times New Roman" w:cs="宋体"/>
          <w:color w:val="000000"/>
          <w:sz w:val="21"/>
          <w:szCs w:val="21"/>
        </w:rPr>
        <w:t>）和基因间区（</w:t>
      </w:r>
      <w:r w:rsidRPr="00230262">
        <w:rPr>
          <w:rFonts w:ascii="Times New Roman" w:eastAsia="楷体" w:hAnsi="Times New Roman" w:cs="宋体"/>
          <w:color w:val="000000"/>
          <w:sz w:val="21"/>
          <w:szCs w:val="21"/>
        </w:rPr>
        <w:t>intergenic</w:t>
      </w:r>
      <w:r w:rsidRPr="00230262">
        <w:rPr>
          <w:rFonts w:ascii="Times New Roman" w:eastAsia="楷体" w:hAnsi="Times New Roman" w:cs="宋体"/>
          <w:color w:val="000000"/>
          <w:sz w:val="21"/>
          <w:szCs w:val="21"/>
        </w:rPr>
        <w:t>）</w:t>
      </w:r>
      <w:r w:rsidRPr="00230262">
        <w:rPr>
          <w:rFonts w:ascii="Times New Roman" w:eastAsia="楷体" w:hAnsi="Times New Roman" w:cs="宋体" w:hint="eastAsia"/>
          <w:color w:val="000000"/>
          <w:sz w:val="21"/>
          <w:szCs w:val="21"/>
        </w:rPr>
        <w:t>，</w:t>
      </w:r>
      <w:r w:rsidRPr="00230262">
        <w:rPr>
          <w:rFonts w:ascii="Times New Roman" w:eastAsia="楷体" w:hAnsi="Times New Roman" w:cs="宋体"/>
          <w:color w:val="000000"/>
          <w:sz w:val="21"/>
          <w:szCs w:val="21"/>
        </w:rPr>
        <w:t>如果一个</w:t>
      </w:r>
      <w:r w:rsidRPr="00230262">
        <w:rPr>
          <w:rFonts w:ascii="Times New Roman" w:eastAsia="楷体" w:hAnsi="Times New Roman" w:cs="宋体"/>
          <w:color w:val="000000"/>
          <w:sz w:val="21"/>
          <w:szCs w:val="21"/>
        </w:rPr>
        <w:t xml:space="preserve"> read </w:t>
      </w:r>
      <w:r w:rsidRPr="00230262">
        <w:rPr>
          <w:rFonts w:ascii="Times New Roman" w:eastAsia="楷体" w:hAnsi="Times New Roman" w:cs="宋体"/>
          <w:color w:val="000000"/>
          <w:sz w:val="21"/>
          <w:szCs w:val="21"/>
        </w:rPr>
        <w:t>至少有</w:t>
      </w:r>
      <w:r w:rsidRPr="00230262">
        <w:rPr>
          <w:rFonts w:ascii="Times New Roman" w:eastAsia="楷体" w:hAnsi="Times New Roman" w:cs="宋体"/>
          <w:color w:val="000000"/>
          <w:sz w:val="21"/>
          <w:szCs w:val="21"/>
        </w:rPr>
        <w:t xml:space="preserve"> 50% </w:t>
      </w:r>
      <w:r w:rsidRPr="00230262">
        <w:rPr>
          <w:rFonts w:ascii="Times New Roman" w:eastAsia="楷体" w:hAnsi="Times New Roman" w:cs="宋体"/>
          <w:color w:val="000000"/>
          <w:sz w:val="21"/>
          <w:szCs w:val="21"/>
        </w:rPr>
        <w:t>与外显子区域重叠，则被归类为外显子区；如果它不属于外显子区但与内含子区域重叠，则被归类为内含子区；否则，被归类为基因间区</w:t>
      </w:r>
      <w:r w:rsidRPr="00230262">
        <w:rPr>
          <w:rFonts w:ascii="Times New Roman" w:eastAsia="楷体" w:hAnsi="Times New Roman" w:cs="宋体" w:hint="eastAsia"/>
          <w:color w:val="000000"/>
          <w:sz w:val="21"/>
          <w:szCs w:val="21"/>
        </w:rPr>
        <w:t>。</w:t>
      </w:r>
      <w:r w:rsidRPr="00230262">
        <w:rPr>
          <w:rFonts w:ascii="Times New Roman" w:eastAsia="楷体" w:hAnsi="Times New Roman" w:cs="宋体"/>
          <w:color w:val="000000"/>
          <w:sz w:val="21"/>
          <w:szCs w:val="21"/>
        </w:rPr>
        <w:t>如果某个</w:t>
      </w:r>
      <w:r w:rsidRPr="00230262">
        <w:rPr>
          <w:rFonts w:ascii="Times New Roman" w:eastAsia="楷体" w:hAnsi="Times New Roman" w:cs="宋体"/>
          <w:color w:val="000000"/>
          <w:sz w:val="21"/>
          <w:szCs w:val="21"/>
        </w:rPr>
        <w:t xml:space="preserve"> read </w:t>
      </w:r>
      <w:r w:rsidRPr="00230262">
        <w:rPr>
          <w:rFonts w:ascii="Times New Roman" w:eastAsia="楷体" w:hAnsi="Times New Roman" w:cs="宋体"/>
          <w:color w:val="000000"/>
          <w:sz w:val="21"/>
          <w:szCs w:val="21"/>
        </w:rPr>
        <w:t>既能比对到单个外显子位点，同时也能比对到一个或多个非外显子位点，则优先考虑外显子位点，并将该</w:t>
      </w:r>
      <w:r w:rsidRPr="00230262">
        <w:rPr>
          <w:rFonts w:ascii="Times New Roman" w:eastAsia="楷体" w:hAnsi="Times New Roman" w:cs="宋体"/>
          <w:color w:val="000000"/>
          <w:sz w:val="21"/>
          <w:szCs w:val="21"/>
        </w:rPr>
        <w:t xml:space="preserve"> read </w:t>
      </w:r>
      <w:r w:rsidRPr="00230262">
        <w:rPr>
          <w:rFonts w:ascii="Times New Roman" w:eastAsia="楷体" w:hAnsi="Times New Roman" w:cs="宋体"/>
          <w:color w:val="000000"/>
          <w:sz w:val="21"/>
          <w:szCs w:val="21"/>
        </w:rPr>
        <w:t>视为高置信度地比对到该外显子位点，并赋予最高的比对质量评分。默认情况下，属于转录组（在上图中标记为蓝色）的</w:t>
      </w:r>
      <w:r w:rsidRPr="00230262">
        <w:rPr>
          <w:rFonts w:ascii="Times New Roman" w:eastAsia="楷体" w:hAnsi="Times New Roman" w:cs="宋体"/>
          <w:color w:val="000000"/>
          <w:sz w:val="21"/>
          <w:szCs w:val="21"/>
        </w:rPr>
        <w:t xml:space="preserve"> reads </w:t>
      </w:r>
      <w:r w:rsidRPr="00230262">
        <w:rPr>
          <w:rFonts w:ascii="Times New Roman" w:eastAsia="楷体" w:hAnsi="Times New Roman" w:cs="宋体"/>
          <w:color w:val="000000"/>
          <w:sz w:val="21"/>
          <w:szCs w:val="21"/>
        </w:rPr>
        <w:t>会被保留用于</w:t>
      </w:r>
      <w:r w:rsidRPr="00230262">
        <w:rPr>
          <w:rFonts w:ascii="Times New Roman" w:eastAsia="楷体" w:hAnsi="Times New Roman" w:cs="宋体"/>
          <w:color w:val="000000"/>
          <w:sz w:val="21"/>
          <w:szCs w:val="21"/>
        </w:rPr>
        <w:t xml:space="preserve"> UMI </w:t>
      </w:r>
      <w:r w:rsidRPr="00230262">
        <w:rPr>
          <w:rFonts w:ascii="Times New Roman" w:eastAsia="楷体" w:hAnsi="Times New Roman" w:cs="宋体"/>
          <w:color w:val="000000"/>
          <w:sz w:val="21"/>
          <w:szCs w:val="21"/>
        </w:rPr>
        <w:t>计数。只有能够唯一</w:t>
      </w:r>
      <w:r w:rsidRPr="00230262">
        <w:rPr>
          <w:rFonts w:ascii="Times New Roman" w:eastAsia="楷体" w:hAnsi="Times New Roman" w:cs="宋体"/>
          <w:color w:val="000000"/>
          <w:sz w:val="21"/>
          <w:szCs w:val="21"/>
        </w:rPr>
        <w:lastRenderedPageBreak/>
        <w:t>比对到单个基因的</w:t>
      </w:r>
      <w:r w:rsidRPr="00230262">
        <w:rPr>
          <w:rFonts w:ascii="Times New Roman" w:eastAsia="楷体" w:hAnsi="Times New Roman" w:cs="宋体"/>
          <w:color w:val="000000"/>
          <w:sz w:val="21"/>
          <w:szCs w:val="21"/>
        </w:rPr>
        <w:t xml:space="preserve"> reads </w:t>
      </w:r>
      <w:r w:rsidRPr="00230262">
        <w:rPr>
          <w:rFonts w:ascii="Times New Roman" w:eastAsia="楷体" w:hAnsi="Times New Roman" w:cs="宋体"/>
          <w:color w:val="000000"/>
          <w:sz w:val="21"/>
          <w:szCs w:val="21"/>
        </w:rPr>
        <w:t>才会被保留用于</w:t>
      </w:r>
      <w:r w:rsidRPr="00230262">
        <w:rPr>
          <w:rFonts w:ascii="Times New Roman" w:eastAsia="楷体" w:hAnsi="Times New Roman" w:cs="宋体"/>
          <w:color w:val="000000"/>
          <w:sz w:val="21"/>
          <w:szCs w:val="21"/>
        </w:rPr>
        <w:t xml:space="preserve"> UMI </w:t>
      </w:r>
      <w:r w:rsidRPr="00230262">
        <w:rPr>
          <w:rFonts w:ascii="Times New Roman" w:eastAsia="楷体" w:hAnsi="Times New Roman" w:cs="宋体"/>
          <w:color w:val="000000"/>
          <w:sz w:val="21"/>
          <w:szCs w:val="21"/>
        </w:rPr>
        <w:t>计数，而多重比对的</w:t>
      </w:r>
      <w:r w:rsidRPr="00230262">
        <w:rPr>
          <w:rFonts w:ascii="Times New Roman" w:eastAsia="楷体" w:hAnsi="Times New Roman" w:cs="宋体"/>
          <w:color w:val="000000"/>
          <w:sz w:val="21"/>
          <w:szCs w:val="21"/>
        </w:rPr>
        <w:t xml:space="preserve"> reads </w:t>
      </w:r>
      <w:r w:rsidRPr="00230262">
        <w:rPr>
          <w:rFonts w:ascii="Times New Roman" w:eastAsia="楷体" w:hAnsi="Times New Roman" w:cs="宋体"/>
          <w:color w:val="000000"/>
          <w:sz w:val="21"/>
          <w:szCs w:val="21"/>
        </w:rPr>
        <w:t>会被</w:t>
      </w:r>
      <w:r w:rsidRPr="00230262">
        <w:rPr>
          <w:rFonts w:ascii="Times New Roman" w:eastAsia="楷体" w:hAnsi="Times New Roman" w:cs="宋体"/>
          <w:color w:val="000000"/>
          <w:sz w:val="21"/>
          <w:szCs w:val="21"/>
        </w:rPr>
        <w:t xml:space="preserve"> Cell Ranger </w:t>
      </w:r>
      <w:r w:rsidRPr="00230262">
        <w:rPr>
          <w:rFonts w:ascii="Times New Roman" w:eastAsia="楷体" w:hAnsi="Times New Roman" w:cs="宋体"/>
          <w:color w:val="000000"/>
          <w:sz w:val="21"/>
          <w:szCs w:val="21"/>
        </w:rPr>
        <w:t>丢弃。</w:t>
      </w:r>
      <w:r>
        <w:rPr>
          <w:rFonts w:ascii="Times New Roman" w:eastAsia="楷体" w:hAnsi="Times New Roman"/>
          <w:noProof/>
          <w:sz w:val="21"/>
          <w:szCs w:val="21"/>
          <w14:ligatures w14:val="standardContextual"/>
        </w:rPr>
        <w:drawing>
          <wp:inline distT="0" distB="0" distL="0" distR="0" wp14:anchorId="76F59DF1" wp14:editId="04CCCAB3">
            <wp:extent cx="5274310" cy="2242820"/>
            <wp:effectExtent l="0" t="0" r="0" b="0"/>
            <wp:docPr id="292226128" name="图片 2" descr="图片包含 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26128" name="图片 2" descr="图片包含 图形用户界面&#10;&#10;AI 生成的内容可能不正确。"/>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242820"/>
                    </a:xfrm>
                    <a:prstGeom prst="rect">
                      <a:avLst/>
                    </a:prstGeom>
                  </pic:spPr>
                </pic:pic>
              </a:graphicData>
            </a:graphic>
          </wp:inline>
        </w:drawing>
      </w:r>
    </w:p>
    <w:p w14:paraId="42FAB5B6" w14:textId="120C8165" w:rsidR="00230262" w:rsidRPr="00230262" w:rsidRDefault="00230262" w:rsidP="005A1ECA">
      <w:pPr>
        <w:pStyle w:val="af1"/>
        <w:rPr>
          <w:rFonts w:ascii="Times New Roman" w:eastAsia="楷体" w:hAnsi="Times New Roman"/>
          <w:color w:val="000000"/>
          <w:sz w:val="21"/>
          <w:szCs w:val="21"/>
        </w:rPr>
      </w:pPr>
      <w:r w:rsidRPr="00230262">
        <w:rPr>
          <w:rFonts w:ascii="Times New Roman" w:eastAsia="楷体" w:hAnsi="Times New Roman"/>
          <w:color w:val="000000"/>
          <w:sz w:val="21"/>
          <w:szCs w:val="21"/>
        </w:rPr>
        <w:t>当测序样本为细胞核（</w:t>
      </w:r>
      <w:r w:rsidRPr="00230262">
        <w:rPr>
          <w:rFonts w:ascii="Times New Roman" w:eastAsia="楷体" w:hAnsi="Times New Roman"/>
          <w:color w:val="000000"/>
          <w:sz w:val="21"/>
          <w:szCs w:val="21"/>
        </w:rPr>
        <w:t>nuclei</w:t>
      </w:r>
      <w:r w:rsidRPr="00230262">
        <w:rPr>
          <w:rFonts w:ascii="Times New Roman" w:eastAsia="楷体" w:hAnsi="Times New Roman"/>
          <w:color w:val="000000"/>
          <w:sz w:val="21"/>
          <w:szCs w:val="21"/>
        </w:rPr>
        <w:t>）时，大量</w:t>
      </w:r>
      <w:r w:rsidRPr="00230262">
        <w:rPr>
          <w:rFonts w:ascii="Times New Roman" w:eastAsia="楷体" w:hAnsi="Times New Roman"/>
          <w:color w:val="000000"/>
          <w:sz w:val="21"/>
          <w:szCs w:val="21"/>
        </w:rPr>
        <w:t xml:space="preserve"> reads </w:t>
      </w:r>
      <w:r w:rsidRPr="00230262">
        <w:rPr>
          <w:rFonts w:ascii="Times New Roman" w:eastAsia="楷体" w:hAnsi="Times New Roman"/>
          <w:color w:val="000000"/>
          <w:sz w:val="21"/>
          <w:szCs w:val="21"/>
        </w:rPr>
        <w:t>来自未剪接的转录本，并比对到内含子区域。为了将这些内含子</w:t>
      </w:r>
      <w:r w:rsidRPr="00230262">
        <w:rPr>
          <w:rFonts w:ascii="Times New Roman" w:eastAsia="楷体" w:hAnsi="Times New Roman"/>
          <w:color w:val="000000"/>
          <w:sz w:val="21"/>
          <w:szCs w:val="21"/>
        </w:rPr>
        <w:t xml:space="preserve"> reads </w:t>
      </w:r>
      <w:r w:rsidRPr="00230262">
        <w:rPr>
          <w:rFonts w:ascii="Times New Roman" w:eastAsia="楷体" w:hAnsi="Times New Roman"/>
          <w:color w:val="000000"/>
          <w:sz w:val="21"/>
          <w:szCs w:val="21"/>
        </w:rPr>
        <w:t>计入</w:t>
      </w:r>
      <w:r w:rsidRPr="00230262">
        <w:rPr>
          <w:rFonts w:ascii="Times New Roman" w:eastAsia="楷体" w:hAnsi="Times New Roman"/>
          <w:color w:val="000000"/>
          <w:sz w:val="21"/>
          <w:szCs w:val="21"/>
        </w:rPr>
        <w:t xml:space="preserve"> UMI </w:t>
      </w:r>
      <w:r w:rsidRPr="00230262">
        <w:rPr>
          <w:rFonts w:ascii="Times New Roman" w:eastAsia="楷体" w:hAnsi="Times New Roman"/>
          <w:color w:val="000000"/>
          <w:sz w:val="21"/>
          <w:szCs w:val="21"/>
        </w:rPr>
        <w:t>计数，可以在运行</w:t>
      </w:r>
      <w:r w:rsidRPr="00230262">
        <w:rPr>
          <w:rFonts w:ascii="Times New Roman" w:eastAsia="楷体" w:hAnsi="Times New Roman"/>
          <w:sz w:val="21"/>
          <w:szCs w:val="21"/>
        </w:rPr>
        <w:t> cell</w:t>
      </w:r>
      <w:r>
        <w:rPr>
          <w:rFonts w:ascii="Times New Roman" w:eastAsia="楷体" w:hAnsi="Times New Roman" w:hint="eastAsia"/>
          <w:sz w:val="21"/>
          <w:szCs w:val="21"/>
        </w:rPr>
        <w:t xml:space="preserve"> </w:t>
      </w:r>
      <w:r w:rsidRPr="00230262">
        <w:rPr>
          <w:rFonts w:ascii="Times New Roman" w:eastAsia="楷体" w:hAnsi="Times New Roman"/>
          <w:sz w:val="21"/>
          <w:szCs w:val="21"/>
        </w:rPr>
        <w:t>ranger count </w:t>
      </w:r>
      <w:r w:rsidRPr="00230262">
        <w:rPr>
          <w:rFonts w:ascii="Times New Roman" w:eastAsia="楷体" w:hAnsi="Times New Roman"/>
          <w:color w:val="000000"/>
          <w:sz w:val="21"/>
          <w:szCs w:val="21"/>
        </w:rPr>
        <w:t>和</w:t>
      </w:r>
      <w:r w:rsidRPr="00230262">
        <w:rPr>
          <w:rFonts w:ascii="Times New Roman" w:eastAsia="楷体" w:hAnsi="Times New Roman"/>
          <w:sz w:val="21"/>
          <w:szCs w:val="21"/>
        </w:rPr>
        <w:t> cell</w:t>
      </w:r>
      <w:r>
        <w:rPr>
          <w:rFonts w:ascii="Times New Roman" w:eastAsia="楷体" w:hAnsi="Times New Roman" w:hint="eastAsia"/>
          <w:sz w:val="21"/>
          <w:szCs w:val="21"/>
        </w:rPr>
        <w:t xml:space="preserve"> </w:t>
      </w:r>
      <w:r w:rsidRPr="00230262">
        <w:rPr>
          <w:rFonts w:ascii="Times New Roman" w:eastAsia="楷体" w:hAnsi="Times New Roman"/>
          <w:sz w:val="21"/>
          <w:szCs w:val="21"/>
        </w:rPr>
        <w:t>ranger multi </w:t>
      </w:r>
      <w:r w:rsidRPr="00230262">
        <w:rPr>
          <w:rFonts w:ascii="Times New Roman" w:eastAsia="楷体" w:hAnsi="Times New Roman"/>
          <w:color w:val="000000"/>
          <w:sz w:val="21"/>
          <w:szCs w:val="21"/>
        </w:rPr>
        <w:t>管道时使用</w:t>
      </w:r>
      <w:r w:rsidRPr="00230262">
        <w:rPr>
          <w:rFonts w:ascii="Times New Roman" w:eastAsia="楷体" w:hAnsi="Times New Roman"/>
          <w:sz w:val="21"/>
          <w:szCs w:val="21"/>
        </w:rPr>
        <w:t> --include-introns </w:t>
      </w:r>
      <w:r w:rsidRPr="00230262">
        <w:rPr>
          <w:rFonts w:ascii="Times New Roman" w:eastAsia="楷体" w:hAnsi="Times New Roman"/>
          <w:color w:val="000000"/>
          <w:sz w:val="21"/>
          <w:szCs w:val="21"/>
        </w:rPr>
        <w:t>选项。如果启用了该选项，则所有以正义链方向比对到单个基因的</w:t>
      </w:r>
      <w:r w:rsidRPr="00230262">
        <w:rPr>
          <w:rFonts w:ascii="Times New Roman" w:eastAsia="楷体" w:hAnsi="Times New Roman"/>
          <w:color w:val="000000"/>
          <w:sz w:val="21"/>
          <w:szCs w:val="21"/>
        </w:rPr>
        <w:t xml:space="preserve"> reads</w:t>
      </w:r>
      <w:r w:rsidRPr="00230262">
        <w:rPr>
          <w:rFonts w:ascii="Times New Roman" w:eastAsia="楷体" w:hAnsi="Times New Roman"/>
          <w:color w:val="000000"/>
          <w:sz w:val="21"/>
          <w:szCs w:val="21"/>
        </w:rPr>
        <w:t>（包括上图中标记为转录组的蓝色</w:t>
      </w:r>
      <w:r w:rsidRPr="00230262">
        <w:rPr>
          <w:rFonts w:ascii="Times New Roman" w:eastAsia="楷体" w:hAnsi="Times New Roman"/>
          <w:color w:val="000000"/>
          <w:sz w:val="21"/>
          <w:szCs w:val="21"/>
        </w:rPr>
        <w:t xml:space="preserve"> reads</w:t>
      </w:r>
      <w:r w:rsidRPr="00230262">
        <w:rPr>
          <w:rFonts w:ascii="Times New Roman" w:eastAsia="楷体" w:hAnsi="Times New Roman"/>
          <w:color w:val="000000"/>
          <w:sz w:val="21"/>
          <w:szCs w:val="21"/>
        </w:rPr>
        <w:t>、外显子区的浅蓝色</w:t>
      </w:r>
      <w:r w:rsidRPr="00230262">
        <w:rPr>
          <w:rFonts w:ascii="Times New Roman" w:eastAsia="楷体" w:hAnsi="Times New Roman"/>
          <w:color w:val="000000"/>
          <w:sz w:val="21"/>
          <w:szCs w:val="21"/>
        </w:rPr>
        <w:t xml:space="preserve"> reads </w:t>
      </w:r>
      <w:r w:rsidRPr="00230262">
        <w:rPr>
          <w:rFonts w:ascii="Times New Roman" w:eastAsia="楷体" w:hAnsi="Times New Roman"/>
          <w:color w:val="000000"/>
          <w:sz w:val="21"/>
          <w:szCs w:val="21"/>
        </w:rPr>
        <w:t>和内含子区的红色</w:t>
      </w:r>
      <w:r w:rsidRPr="00230262">
        <w:rPr>
          <w:rFonts w:ascii="Times New Roman" w:eastAsia="楷体" w:hAnsi="Times New Roman"/>
          <w:color w:val="000000"/>
          <w:sz w:val="21"/>
          <w:szCs w:val="21"/>
        </w:rPr>
        <w:t xml:space="preserve"> reads</w:t>
      </w:r>
      <w:r w:rsidRPr="00230262">
        <w:rPr>
          <w:rFonts w:ascii="Times New Roman" w:eastAsia="楷体" w:hAnsi="Times New Roman"/>
          <w:color w:val="000000"/>
          <w:sz w:val="21"/>
          <w:szCs w:val="21"/>
        </w:rPr>
        <w:t>）都会被保留用于</w:t>
      </w:r>
      <w:r w:rsidRPr="00230262">
        <w:rPr>
          <w:rFonts w:ascii="Times New Roman" w:eastAsia="楷体" w:hAnsi="Times New Roman"/>
          <w:color w:val="000000"/>
          <w:sz w:val="21"/>
          <w:szCs w:val="21"/>
        </w:rPr>
        <w:t xml:space="preserve"> UMI </w:t>
      </w:r>
      <w:r w:rsidRPr="00230262">
        <w:rPr>
          <w:rFonts w:ascii="Times New Roman" w:eastAsia="楷体" w:hAnsi="Times New Roman"/>
          <w:color w:val="000000"/>
          <w:sz w:val="21"/>
          <w:szCs w:val="21"/>
        </w:rPr>
        <w:t>计数。使用</w:t>
      </w:r>
      <w:r w:rsidRPr="00230262">
        <w:rPr>
          <w:rFonts w:ascii="Times New Roman" w:eastAsia="楷体" w:hAnsi="Times New Roman"/>
          <w:sz w:val="21"/>
          <w:szCs w:val="21"/>
        </w:rPr>
        <w:t> --include-introns </w:t>
      </w:r>
      <w:r w:rsidRPr="00230262">
        <w:rPr>
          <w:rFonts w:ascii="Times New Roman" w:eastAsia="楷体" w:hAnsi="Times New Roman"/>
          <w:color w:val="000000"/>
          <w:sz w:val="21"/>
          <w:szCs w:val="21"/>
        </w:rPr>
        <w:t>选项后，无需额外创建自定义的</w:t>
      </w:r>
      <w:r w:rsidRPr="00230262">
        <w:rPr>
          <w:rFonts w:ascii="Times New Roman" w:eastAsia="楷体" w:hAnsi="Times New Roman"/>
          <w:color w:val="000000"/>
          <w:sz w:val="21"/>
          <w:szCs w:val="21"/>
        </w:rPr>
        <w:t xml:space="preserve"> “pre-mRNA” </w:t>
      </w:r>
      <w:r w:rsidRPr="00230262">
        <w:rPr>
          <w:rFonts w:ascii="Times New Roman" w:eastAsia="楷体" w:hAnsi="Times New Roman"/>
          <w:color w:val="000000"/>
          <w:sz w:val="21"/>
          <w:szCs w:val="21"/>
        </w:rPr>
        <w:t>参考基因组（该参考基因组通常会将整个基因体定义为外显子）。</w:t>
      </w:r>
    </w:p>
    <w:p w14:paraId="347B7007" w14:textId="77777777" w:rsidR="008B3E76" w:rsidRPr="00DF273F" w:rsidRDefault="008B3E76" w:rsidP="00567700">
      <w:pPr>
        <w:pStyle w:val="p1"/>
        <w:rPr>
          <w:rFonts w:ascii="Times New Roman" w:eastAsia="楷体" w:hAnsi="Times New Roman"/>
          <w:sz w:val="21"/>
          <w:szCs w:val="21"/>
        </w:rPr>
      </w:pPr>
    </w:p>
    <w:p w14:paraId="21D73A58" w14:textId="24B66732" w:rsidR="00145AE0" w:rsidRPr="00DF273F" w:rsidRDefault="00145AE0" w:rsidP="00567700">
      <w:pPr>
        <w:pStyle w:val="p1"/>
        <w:rPr>
          <w:rFonts w:ascii="Times New Roman" w:eastAsia="楷体" w:hAnsi="Times New Roman" w:cs="Times New Roman"/>
          <w:color w:val="222222"/>
          <w:sz w:val="21"/>
          <w:szCs w:val="21"/>
          <w:shd w:val="clear" w:color="auto" w:fill="FFFFFF"/>
        </w:rPr>
      </w:pPr>
      <w:r w:rsidRPr="00DF273F">
        <w:rPr>
          <w:rFonts w:ascii="Times New Roman" w:eastAsia="楷体" w:hAnsi="Times New Roman" w:cs="Times New Roman"/>
          <w:color w:val="222222"/>
          <w:sz w:val="21"/>
          <w:szCs w:val="21"/>
          <w:shd w:val="clear" w:color="auto" w:fill="FFFFFF"/>
        </w:rPr>
        <w:t>Brüning R S, Tombor L, Schulz M H, et al. Comparative analysis of common alignment tools for single-cell RNA sequencing[J]. Gigascience, 2022, 11: giac001.</w:t>
      </w:r>
    </w:p>
    <w:p w14:paraId="5ED6D99A" w14:textId="77777777" w:rsidR="00E55C6D" w:rsidRPr="00DF273F" w:rsidRDefault="00E55C6D" w:rsidP="00567700">
      <w:pPr>
        <w:pStyle w:val="p1"/>
        <w:rPr>
          <w:rFonts w:ascii="Times New Roman" w:eastAsia="楷体" w:hAnsi="Times New Roman"/>
          <w:color w:val="222222"/>
          <w:sz w:val="21"/>
          <w:szCs w:val="21"/>
          <w:shd w:val="clear" w:color="auto" w:fill="FFFFFF"/>
        </w:rPr>
      </w:pPr>
    </w:p>
    <w:p w14:paraId="49DDD896" w14:textId="77777777" w:rsidR="00E55C6D" w:rsidRPr="00DF273F" w:rsidRDefault="00E55C6D" w:rsidP="00567700">
      <w:pPr>
        <w:pStyle w:val="p1"/>
        <w:rPr>
          <w:rFonts w:ascii="Times New Roman" w:eastAsia="楷体" w:hAnsi="Times New Roman"/>
          <w:color w:val="222222"/>
          <w:sz w:val="21"/>
          <w:szCs w:val="21"/>
          <w:shd w:val="clear" w:color="auto" w:fill="FFFFFF"/>
        </w:rPr>
      </w:pPr>
    </w:p>
    <w:p w14:paraId="56D8CA47" w14:textId="573BBA80" w:rsidR="00E55C6D" w:rsidRPr="005A1ECA" w:rsidRDefault="00E55C6D" w:rsidP="005A1ECA">
      <w:pPr>
        <w:rPr>
          <w:rFonts w:ascii="Times New Roman" w:eastAsia="楷体" w:hAnsi="Times New Roman"/>
          <w:color w:val="000000"/>
          <w:sz w:val="21"/>
          <w:szCs w:val="21"/>
        </w:rPr>
      </w:pPr>
      <w:r w:rsidRPr="005A1ECA">
        <w:rPr>
          <w:rFonts w:ascii="Times New Roman" w:eastAsia="楷体" w:hAnsi="Times New Roman" w:hint="eastAsia"/>
          <w:color w:val="000000"/>
          <w:sz w:val="21"/>
          <w:szCs w:val="21"/>
        </w:rPr>
        <w:t>非模式生物注意两点：</w:t>
      </w:r>
    </w:p>
    <w:p w14:paraId="49775548" w14:textId="7718BB5A" w:rsidR="00E55C6D" w:rsidRPr="005A1ECA" w:rsidRDefault="00E55C6D" w:rsidP="005A1ECA">
      <w:pPr>
        <w:rPr>
          <w:rFonts w:ascii="Times New Roman" w:eastAsia="楷体" w:hAnsi="Times New Roman"/>
          <w:color w:val="000000"/>
          <w:sz w:val="21"/>
          <w:szCs w:val="21"/>
        </w:rPr>
      </w:pPr>
      <w:r w:rsidRPr="005A1ECA">
        <w:rPr>
          <w:rFonts w:ascii="Times New Roman" w:eastAsia="楷体" w:hAnsi="Times New Roman" w:hint="eastAsia"/>
          <w:color w:val="000000"/>
          <w:sz w:val="21"/>
          <w:szCs w:val="21"/>
        </w:rPr>
        <w:t>好的参考基因组以及注释好的线粒体序列，</w:t>
      </w:r>
      <w:r w:rsidRPr="005A1ECA">
        <w:rPr>
          <w:rFonts w:ascii="Times New Roman" w:eastAsia="楷体" w:hAnsi="Times New Roman"/>
          <w:color w:val="000000"/>
          <w:sz w:val="21"/>
          <w:szCs w:val="21"/>
        </w:rPr>
        <w:t>MITOS2 is a specialized server that can be used to automatically</w:t>
      </w:r>
      <w:r w:rsidRPr="005A1ECA">
        <w:rPr>
          <w:rFonts w:ascii="Times New Roman" w:eastAsia="楷体" w:hAnsi="Times New Roman" w:hint="eastAsia"/>
          <w:color w:val="000000"/>
          <w:sz w:val="21"/>
          <w:szCs w:val="21"/>
        </w:rPr>
        <w:t xml:space="preserve"> </w:t>
      </w:r>
      <w:r w:rsidRPr="005A1ECA">
        <w:rPr>
          <w:rFonts w:ascii="Times New Roman" w:eastAsia="楷体" w:hAnsi="Times New Roman"/>
          <w:color w:val="000000"/>
          <w:sz w:val="21"/>
          <w:szCs w:val="21"/>
        </w:rPr>
        <w:t>generate good quality mitochondrial annotations for metazoans.</w:t>
      </w:r>
    </w:p>
    <w:p w14:paraId="36620795" w14:textId="22D82DCE" w:rsidR="00E55C6D" w:rsidRPr="005A1ECA" w:rsidRDefault="00E55C6D" w:rsidP="005A1ECA">
      <w:pPr>
        <w:rPr>
          <w:rFonts w:ascii="Times New Roman" w:eastAsia="楷体" w:hAnsi="Times New Roman"/>
          <w:color w:val="000000"/>
          <w:sz w:val="21"/>
          <w:szCs w:val="21"/>
        </w:rPr>
      </w:pPr>
      <w:r w:rsidRPr="005A1ECA">
        <w:rPr>
          <w:rFonts w:ascii="Times New Roman" w:eastAsia="楷体" w:hAnsi="Times New Roman"/>
          <w:color w:val="000000"/>
          <w:sz w:val="21"/>
          <w:szCs w:val="21"/>
        </w:rPr>
        <w:t>de novo</w:t>
      </w:r>
      <w:r w:rsidRPr="005A1ECA">
        <w:rPr>
          <w:rFonts w:ascii="Times New Roman" w:eastAsia="楷体" w:hAnsi="Times New Roman" w:hint="eastAsia"/>
          <w:color w:val="000000"/>
          <w:sz w:val="21"/>
          <w:szCs w:val="21"/>
        </w:rPr>
        <w:t xml:space="preserve"> </w:t>
      </w:r>
      <w:r w:rsidRPr="005A1ECA">
        <w:rPr>
          <w:rFonts w:ascii="Times New Roman" w:eastAsia="楷体" w:hAnsi="Times New Roman"/>
          <w:color w:val="000000"/>
          <w:sz w:val="21"/>
          <w:szCs w:val="21"/>
        </w:rPr>
        <w:t>sequenced genomes generate gene models that do not include UTR sequences</w:t>
      </w:r>
      <w:r w:rsidRPr="005A1ECA">
        <w:rPr>
          <w:rFonts w:ascii="Times New Roman" w:eastAsia="楷体" w:hAnsi="Times New Roman" w:hint="eastAsia"/>
          <w:color w:val="000000"/>
          <w:sz w:val="21"/>
          <w:szCs w:val="21"/>
        </w:rPr>
        <w:t>这样会影响比对效果</w:t>
      </w:r>
    </w:p>
    <w:p w14:paraId="24C2EDEA" w14:textId="4A174E72" w:rsidR="00FC432F" w:rsidRDefault="00FC432F">
      <w:pPr>
        <w:rPr>
          <w:rFonts w:ascii="Times New Roman" w:eastAsia="楷体" w:hAnsi="Times New Roman" w:cs="Arial"/>
          <w:color w:val="141413"/>
          <w:sz w:val="21"/>
          <w:szCs w:val="21"/>
        </w:rPr>
      </w:pPr>
      <w:r>
        <w:rPr>
          <w:rFonts w:ascii="Times New Roman" w:eastAsia="楷体" w:hAnsi="Times New Roman"/>
          <w:sz w:val="21"/>
          <w:szCs w:val="21"/>
        </w:rPr>
        <w:br w:type="page"/>
      </w:r>
    </w:p>
    <w:p w14:paraId="04F3DEC5" w14:textId="07D129A9" w:rsidR="00FC432F" w:rsidRDefault="00FC432F" w:rsidP="008524AF">
      <w:pPr>
        <w:pStyle w:val="2"/>
      </w:pPr>
      <w:r>
        <w:rPr>
          <w:rFonts w:hint="eastAsia"/>
        </w:rPr>
        <w:lastRenderedPageBreak/>
        <w:t>单细胞数据分析：标准化</w:t>
      </w:r>
    </w:p>
    <w:p w14:paraId="3184AD80" w14:textId="77777777" w:rsidR="00E16338" w:rsidRDefault="00E16338" w:rsidP="00E16338">
      <w:pPr>
        <w:pStyle w:val="break-words"/>
        <w:rPr>
          <w:color w:val="000000"/>
        </w:rPr>
      </w:pPr>
      <w:r>
        <w:rPr>
          <w:color w:val="000000"/>
        </w:rPr>
        <w:t>单细胞数据的标准化通常分为以下几个层次：</w:t>
      </w:r>
    </w:p>
    <w:p w14:paraId="4A00D919" w14:textId="77777777" w:rsidR="00E16338" w:rsidRDefault="00E16338" w:rsidP="00E16338">
      <w:pPr>
        <w:pStyle w:val="break-words"/>
        <w:numPr>
          <w:ilvl w:val="0"/>
          <w:numId w:val="21"/>
        </w:numPr>
        <w:rPr>
          <w:color w:val="000000"/>
        </w:rPr>
      </w:pPr>
      <w:r>
        <w:rPr>
          <w:rStyle w:val="ae"/>
          <w:color w:val="000000"/>
        </w:rPr>
        <w:t>细胞水平标准化（Cell-level normalization）</w:t>
      </w:r>
      <w:r>
        <w:rPr>
          <w:color w:val="000000"/>
        </w:rPr>
        <w:t>：</w:t>
      </w:r>
    </w:p>
    <w:p w14:paraId="1D956681" w14:textId="1E5E09E6" w:rsidR="00E16338" w:rsidRPr="00E16338" w:rsidRDefault="00E16338" w:rsidP="00E16338">
      <w:pPr>
        <w:pStyle w:val="break-words"/>
        <w:numPr>
          <w:ilvl w:val="0"/>
          <w:numId w:val="23"/>
        </w:numPr>
        <w:rPr>
          <w:color w:val="000000"/>
          <w:sz w:val="21"/>
          <w:szCs w:val="21"/>
        </w:rPr>
      </w:pPr>
      <w:r w:rsidRPr="00E16338">
        <w:rPr>
          <w:color w:val="000000"/>
          <w:sz w:val="21"/>
          <w:szCs w:val="21"/>
        </w:rPr>
        <w:t>目标：消除由于测序深度（每个细胞的总计数差异）带来的技术偏差</w:t>
      </w:r>
    </w:p>
    <w:p w14:paraId="078A3537" w14:textId="18AE8790" w:rsidR="00E16338" w:rsidRPr="00E16338" w:rsidRDefault="00E16338" w:rsidP="00E16338">
      <w:pPr>
        <w:pStyle w:val="break-words"/>
        <w:numPr>
          <w:ilvl w:val="0"/>
          <w:numId w:val="23"/>
        </w:numPr>
        <w:rPr>
          <w:color w:val="000000"/>
          <w:sz w:val="21"/>
          <w:szCs w:val="21"/>
        </w:rPr>
      </w:pPr>
      <w:r w:rsidRPr="00E16338">
        <w:rPr>
          <w:color w:val="000000"/>
          <w:sz w:val="21"/>
          <w:szCs w:val="21"/>
        </w:rPr>
        <w:t>方法：将每个细胞的基因计数标准化为相对值（如 CPM 或 TPM）</w:t>
      </w:r>
    </w:p>
    <w:p w14:paraId="5C2823FE" w14:textId="77777777" w:rsidR="00E16338" w:rsidRDefault="00E16338" w:rsidP="00E16338">
      <w:pPr>
        <w:pStyle w:val="break-words"/>
        <w:numPr>
          <w:ilvl w:val="0"/>
          <w:numId w:val="21"/>
        </w:numPr>
        <w:rPr>
          <w:color w:val="000000"/>
        </w:rPr>
      </w:pPr>
      <w:r>
        <w:rPr>
          <w:rStyle w:val="ae"/>
          <w:color w:val="000000"/>
        </w:rPr>
        <w:t>基因水平处理（Feature-level processing）</w:t>
      </w:r>
      <w:r>
        <w:rPr>
          <w:color w:val="000000"/>
        </w:rPr>
        <w:t>：</w:t>
      </w:r>
    </w:p>
    <w:p w14:paraId="0AF9BD24" w14:textId="77777777" w:rsidR="00E16338" w:rsidRPr="00E16338" w:rsidRDefault="00E16338" w:rsidP="00E16338">
      <w:pPr>
        <w:pStyle w:val="break-words"/>
        <w:numPr>
          <w:ilvl w:val="0"/>
          <w:numId w:val="24"/>
        </w:numPr>
        <w:rPr>
          <w:color w:val="000000"/>
          <w:sz w:val="22"/>
          <w:szCs w:val="22"/>
        </w:rPr>
      </w:pPr>
      <w:r w:rsidRPr="00E16338">
        <w:rPr>
          <w:color w:val="000000"/>
          <w:sz w:val="22"/>
          <w:szCs w:val="22"/>
        </w:rPr>
        <w:t>目标：校正基因间的表达分布（如 log 转化）或筛选高变基因（HVG）。</w:t>
      </w:r>
    </w:p>
    <w:p w14:paraId="29D9B6D7" w14:textId="77777777" w:rsidR="00E16338" w:rsidRPr="00E16338" w:rsidRDefault="00E16338" w:rsidP="00E16338">
      <w:pPr>
        <w:pStyle w:val="break-words"/>
        <w:numPr>
          <w:ilvl w:val="0"/>
          <w:numId w:val="24"/>
        </w:numPr>
        <w:rPr>
          <w:color w:val="000000"/>
          <w:sz w:val="22"/>
          <w:szCs w:val="22"/>
        </w:rPr>
      </w:pPr>
      <w:r w:rsidRPr="00E16338">
        <w:rPr>
          <w:color w:val="000000"/>
          <w:sz w:val="22"/>
          <w:szCs w:val="22"/>
        </w:rPr>
        <w:t>方法：log 转化、缩放（scaling）等。</w:t>
      </w:r>
    </w:p>
    <w:p w14:paraId="204828C1" w14:textId="77777777" w:rsidR="00E16338" w:rsidRDefault="00E16338" w:rsidP="00E16338">
      <w:pPr>
        <w:pStyle w:val="break-words"/>
        <w:numPr>
          <w:ilvl w:val="0"/>
          <w:numId w:val="21"/>
        </w:numPr>
        <w:rPr>
          <w:color w:val="000000"/>
        </w:rPr>
      </w:pPr>
      <w:r>
        <w:rPr>
          <w:rStyle w:val="ae"/>
          <w:color w:val="000000"/>
        </w:rPr>
        <w:t>可选的批次校正</w:t>
      </w:r>
      <w:r>
        <w:rPr>
          <w:color w:val="000000"/>
        </w:rPr>
        <w:t>：</w:t>
      </w:r>
    </w:p>
    <w:p w14:paraId="0B503501" w14:textId="77777777" w:rsidR="00E16338" w:rsidRPr="00E16338" w:rsidRDefault="00E16338" w:rsidP="00E16338">
      <w:pPr>
        <w:pStyle w:val="break-words"/>
        <w:numPr>
          <w:ilvl w:val="0"/>
          <w:numId w:val="25"/>
        </w:numPr>
        <w:rPr>
          <w:color w:val="000000"/>
          <w:sz w:val="22"/>
          <w:szCs w:val="22"/>
        </w:rPr>
      </w:pPr>
      <w:r w:rsidRPr="00E16338">
        <w:rPr>
          <w:color w:val="000000"/>
          <w:sz w:val="22"/>
          <w:szCs w:val="22"/>
        </w:rPr>
        <w:t>在多批次数据中，可能会在细胞或基因标准化后额外进行批次效应校正。</w:t>
      </w:r>
    </w:p>
    <w:p w14:paraId="69FBDA98" w14:textId="77777777" w:rsidR="00E16338" w:rsidRDefault="00E16338" w:rsidP="00E16338">
      <w:pPr>
        <w:pStyle w:val="break-words"/>
        <w:rPr>
          <w:rStyle w:val="ae"/>
          <w:color w:val="000000"/>
        </w:rPr>
      </w:pPr>
    </w:p>
    <w:p w14:paraId="5E9A94A5" w14:textId="7DFDD693" w:rsidR="008524AF" w:rsidRPr="00E16338" w:rsidRDefault="00E16338" w:rsidP="00E16338">
      <w:pPr>
        <w:pStyle w:val="break-words"/>
        <w:numPr>
          <w:ilvl w:val="0"/>
          <w:numId w:val="22"/>
        </w:numPr>
        <w:rPr>
          <w:color w:val="000000"/>
        </w:rPr>
      </w:pPr>
      <w:r>
        <w:rPr>
          <w:rStyle w:val="ae"/>
          <w:color w:val="000000"/>
        </w:rPr>
        <w:t>细胞水平标准化（Cell-level normalization）</w:t>
      </w:r>
      <w:r>
        <w:rPr>
          <w:color w:val="000000"/>
        </w:rPr>
        <w:t>：</w:t>
      </w:r>
    </w:p>
    <w:p w14:paraId="0643745B" w14:textId="73155B63" w:rsidR="003518FD" w:rsidRPr="00287E3F" w:rsidRDefault="003518FD" w:rsidP="00287E3F">
      <w:pPr>
        <w:pStyle w:val="af1"/>
        <w:spacing w:line="360" w:lineRule="auto"/>
        <w:ind w:firstLine="420"/>
        <w:rPr>
          <w:rFonts w:ascii="Times New Roman" w:eastAsia="楷体" w:hAnsi="Times New Roman"/>
          <w:color w:val="000000"/>
        </w:rPr>
      </w:pPr>
      <w:r w:rsidRPr="00287E3F">
        <w:rPr>
          <w:rFonts w:ascii="Times New Roman" w:eastAsia="楷体" w:hAnsi="Times New Roman"/>
          <w:color w:val="000000"/>
          <w:sz w:val="27"/>
          <w:szCs w:val="27"/>
        </w:rPr>
        <w:t xml:space="preserve">Ahlmann-Eltze </w:t>
      </w:r>
      <w:r w:rsidRPr="00287E3F">
        <w:rPr>
          <w:rFonts w:ascii="Times New Roman" w:eastAsia="楷体" w:hAnsi="Times New Roman"/>
          <w:color w:val="000000"/>
          <w:sz w:val="27"/>
          <w:szCs w:val="27"/>
        </w:rPr>
        <w:t>和</w:t>
      </w:r>
      <w:r w:rsidRPr="00287E3F">
        <w:rPr>
          <w:rFonts w:ascii="Times New Roman" w:eastAsia="楷体" w:hAnsi="Times New Roman"/>
          <w:color w:val="000000"/>
          <w:sz w:val="27"/>
          <w:szCs w:val="27"/>
        </w:rPr>
        <w:t xml:space="preserve"> Huber </w:t>
      </w:r>
      <w:r w:rsidRPr="00287E3F">
        <w:rPr>
          <w:rFonts w:ascii="Times New Roman" w:eastAsia="楷体" w:hAnsi="Times New Roman"/>
          <w:color w:val="000000"/>
          <w:sz w:val="27"/>
          <w:szCs w:val="27"/>
        </w:rPr>
        <w:t>在</w:t>
      </w:r>
      <w:r w:rsidRPr="00287E3F">
        <w:rPr>
          <w:rFonts w:ascii="Times New Roman" w:eastAsia="楷体" w:hAnsi="Times New Roman"/>
          <w:color w:val="000000"/>
          <w:sz w:val="27"/>
          <w:szCs w:val="27"/>
        </w:rPr>
        <w:t xml:space="preserve"> 2023 </w:t>
      </w:r>
      <w:r w:rsidRPr="00287E3F">
        <w:rPr>
          <w:rFonts w:ascii="Times New Roman" w:eastAsia="楷体" w:hAnsi="Times New Roman"/>
          <w:color w:val="000000"/>
          <w:sz w:val="27"/>
          <w:szCs w:val="27"/>
        </w:rPr>
        <w:t>年发表的一项最新基准研究</w:t>
      </w:r>
      <w:r w:rsidRPr="00287E3F">
        <w:rPr>
          <w:rFonts w:ascii="Times New Roman" w:eastAsia="楷体" w:hAnsi="Times New Roman" w:hint="eastAsia"/>
          <w:color w:val="000000"/>
          <w:sz w:val="27"/>
          <w:szCs w:val="27"/>
        </w:rPr>
        <w:t>（如下文）</w:t>
      </w:r>
      <w:r w:rsidRPr="00287E3F">
        <w:rPr>
          <w:rFonts w:ascii="Times New Roman" w:eastAsia="楷体" w:hAnsi="Times New Roman"/>
          <w:color w:val="000000"/>
          <w:sz w:val="27"/>
          <w:szCs w:val="27"/>
        </w:rPr>
        <w:t>对</w:t>
      </w:r>
      <w:r w:rsidRPr="00287E3F">
        <w:rPr>
          <w:rFonts w:ascii="Times New Roman" w:eastAsia="楷体" w:hAnsi="Times New Roman"/>
          <w:color w:val="000000"/>
          <w:sz w:val="27"/>
          <w:szCs w:val="27"/>
        </w:rPr>
        <w:t xml:space="preserve"> 22 </w:t>
      </w:r>
      <w:r w:rsidRPr="00287E3F">
        <w:rPr>
          <w:rFonts w:ascii="Times New Roman" w:eastAsia="楷体" w:hAnsi="Times New Roman"/>
          <w:color w:val="000000"/>
          <w:sz w:val="27"/>
          <w:szCs w:val="27"/>
        </w:rPr>
        <w:t>种不同的单细胞数据转换方法进行了比较。</w:t>
      </w:r>
      <w:r w:rsidRPr="00287E3F">
        <w:rPr>
          <w:rFonts w:ascii="Times New Roman" w:eastAsia="楷体" w:hAnsi="Times New Roman"/>
          <w:color w:val="000000"/>
        </w:rPr>
        <w:t>结果表明，一种相对简单的方法</w:t>
      </w:r>
      <w:r w:rsidRPr="00287E3F">
        <w:rPr>
          <w:rFonts w:ascii="Times New Roman" w:eastAsia="楷体" w:hAnsi="Times New Roman"/>
          <w:color w:val="000000"/>
        </w:rPr>
        <w:t>——</w:t>
      </w:r>
      <w:r w:rsidRPr="00287E3F">
        <w:rPr>
          <w:rStyle w:val="ae"/>
          <w:rFonts w:ascii="Times New Roman" w:eastAsia="楷体" w:hAnsi="Times New Roman"/>
          <w:b w:val="0"/>
          <w:bCs w:val="0"/>
          <w:color w:val="000000"/>
        </w:rPr>
        <w:t>加伪计数（</w:t>
      </w:r>
      <w:r w:rsidRPr="00287E3F">
        <w:rPr>
          <w:rStyle w:val="ae"/>
          <w:rFonts w:ascii="Times New Roman" w:eastAsia="楷体" w:hAnsi="Times New Roman"/>
          <w:b w:val="0"/>
          <w:bCs w:val="0"/>
          <w:color w:val="000000"/>
        </w:rPr>
        <w:t>pseudo-count</w:t>
      </w:r>
      <w:r w:rsidRPr="00287E3F">
        <w:rPr>
          <w:rStyle w:val="ae"/>
          <w:rFonts w:ascii="Times New Roman" w:eastAsia="楷体" w:hAnsi="Times New Roman"/>
          <w:b w:val="0"/>
          <w:bCs w:val="0"/>
          <w:color w:val="000000"/>
        </w:rPr>
        <w:t>）的对数转换（</w:t>
      </w:r>
      <w:r w:rsidRPr="00287E3F">
        <w:rPr>
          <w:rStyle w:val="ae"/>
          <w:rFonts w:ascii="Times New Roman" w:eastAsia="楷体" w:hAnsi="Times New Roman"/>
          <w:b w:val="0"/>
          <w:bCs w:val="0"/>
          <w:color w:val="000000"/>
        </w:rPr>
        <w:t>log transformation</w:t>
      </w:r>
      <w:r w:rsidRPr="00287E3F">
        <w:rPr>
          <w:rStyle w:val="ae"/>
          <w:rFonts w:ascii="Times New Roman" w:eastAsia="楷体" w:hAnsi="Times New Roman"/>
          <w:b w:val="0"/>
          <w:bCs w:val="0"/>
          <w:color w:val="000000"/>
        </w:rPr>
        <w:t>）结合主成分分析（</w:t>
      </w:r>
      <w:r w:rsidRPr="00287E3F">
        <w:rPr>
          <w:rStyle w:val="ae"/>
          <w:rFonts w:ascii="Times New Roman" w:eastAsia="楷体" w:hAnsi="Times New Roman"/>
          <w:b w:val="0"/>
          <w:bCs w:val="0"/>
          <w:color w:val="000000"/>
        </w:rPr>
        <w:t>PCA</w:t>
      </w:r>
      <w:r w:rsidRPr="00287E3F">
        <w:rPr>
          <w:rStyle w:val="ae"/>
          <w:rFonts w:ascii="Times New Roman" w:eastAsia="楷体" w:hAnsi="Times New Roman"/>
          <w:b w:val="0"/>
          <w:bCs w:val="0"/>
          <w:color w:val="000000"/>
        </w:rPr>
        <w:t>）</w:t>
      </w:r>
      <w:r w:rsidRPr="00287E3F">
        <w:rPr>
          <w:rFonts w:ascii="Times New Roman" w:eastAsia="楷体" w:hAnsi="Times New Roman"/>
          <w:color w:val="000000"/>
        </w:rPr>
        <w:t>，在性能上与更复杂的方法相当，甚至更优。</w:t>
      </w:r>
      <w:r w:rsidRPr="003518FD">
        <w:rPr>
          <w:rFonts w:ascii="Times New Roman" w:eastAsia="楷体" w:hAnsi="Times New Roman"/>
          <w:color w:val="000000"/>
        </w:rPr>
        <w:t>在单细胞</w:t>
      </w:r>
      <w:r w:rsidRPr="003518FD">
        <w:rPr>
          <w:rFonts w:ascii="Times New Roman" w:eastAsia="楷体" w:hAnsi="Times New Roman"/>
          <w:color w:val="000000"/>
        </w:rPr>
        <w:t>RNA</w:t>
      </w:r>
      <w:r w:rsidRPr="003518FD">
        <w:rPr>
          <w:rFonts w:ascii="Times New Roman" w:eastAsia="楷体" w:hAnsi="Times New Roman"/>
          <w:color w:val="000000"/>
        </w:rPr>
        <w:t>测序数据分析中，矩阵标志化（</w:t>
      </w:r>
      <w:r w:rsidRPr="003518FD">
        <w:rPr>
          <w:rFonts w:ascii="Times New Roman" w:eastAsia="楷体" w:hAnsi="Times New Roman"/>
          <w:color w:val="000000"/>
        </w:rPr>
        <w:t>normalization</w:t>
      </w:r>
      <w:r w:rsidRPr="003518FD">
        <w:rPr>
          <w:rFonts w:ascii="Times New Roman" w:eastAsia="楷体" w:hAnsi="Times New Roman"/>
          <w:color w:val="000000"/>
        </w:rPr>
        <w:t>）后进行</w:t>
      </w:r>
      <w:r w:rsidRPr="003518FD">
        <w:rPr>
          <w:rFonts w:ascii="Times New Roman" w:eastAsia="楷体" w:hAnsi="Times New Roman"/>
          <w:color w:val="000000"/>
        </w:rPr>
        <w:t>log</w:t>
      </w:r>
      <w:r w:rsidRPr="003518FD">
        <w:rPr>
          <w:rFonts w:ascii="Times New Roman" w:eastAsia="楷体" w:hAnsi="Times New Roman"/>
          <w:color w:val="000000"/>
        </w:rPr>
        <w:t>转化时，通常是以自然对数（底数为</w:t>
      </w:r>
      <w:r w:rsidRPr="00287E3F">
        <w:rPr>
          <w:rFonts w:ascii="Times New Roman" w:eastAsia="楷体" w:hAnsi="Times New Roman"/>
          <w:color w:val="000000"/>
        </w:rPr>
        <w:t>e</w:t>
      </w:r>
      <w:r w:rsidRPr="003518FD">
        <w:rPr>
          <w:rFonts w:ascii="Times New Roman" w:eastAsia="楷体" w:hAnsi="Times New Roman"/>
          <w:color w:val="000000"/>
        </w:rPr>
        <w:t>）或以</w:t>
      </w:r>
      <w:r w:rsidRPr="003518FD">
        <w:rPr>
          <w:rFonts w:ascii="Times New Roman" w:eastAsia="楷体" w:hAnsi="Times New Roman"/>
          <w:color w:val="000000"/>
        </w:rPr>
        <w:t>10</w:t>
      </w:r>
      <w:r w:rsidRPr="003518FD">
        <w:rPr>
          <w:rFonts w:ascii="Times New Roman" w:eastAsia="楷体" w:hAnsi="Times New Roman"/>
          <w:color w:val="000000"/>
        </w:rPr>
        <w:t>为底的对数（</w:t>
      </w:r>
      <w:r w:rsidRPr="003518FD">
        <w:rPr>
          <w:rFonts w:ascii="Times New Roman" w:eastAsia="楷体" w:hAnsi="Times New Roman"/>
          <w:color w:val="000000"/>
        </w:rPr>
        <w:t>log10</w:t>
      </w:r>
      <w:r w:rsidRPr="003518FD">
        <w:rPr>
          <w:rFonts w:ascii="Times New Roman" w:eastAsia="楷体" w:hAnsi="Times New Roman"/>
          <w:color w:val="000000"/>
        </w:rPr>
        <w:t>）为主，而以</w:t>
      </w:r>
      <w:r w:rsidRPr="003518FD">
        <w:rPr>
          <w:rFonts w:ascii="Times New Roman" w:eastAsia="楷体" w:hAnsi="Times New Roman"/>
          <w:color w:val="000000"/>
        </w:rPr>
        <w:t>2</w:t>
      </w:r>
      <w:r w:rsidRPr="003518FD">
        <w:rPr>
          <w:rFonts w:ascii="Times New Roman" w:eastAsia="楷体" w:hAnsi="Times New Roman"/>
          <w:color w:val="000000"/>
        </w:rPr>
        <w:t>为底的对数（</w:t>
      </w:r>
      <w:r w:rsidRPr="003518FD">
        <w:rPr>
          <w:rFonts w:ascii="Times New Roman" w:eastAsia="楷体" w:hAnsi="Times New Roman"/>
          <w:color w:val="000000"/>
        </w:rPr>
        <w:t>log2</w:t>
      </w:r>
      <w:r w:rsidRPr="003518FD">
        <w:rPr>
          <w:rFonts w:ascii="Times New Roman" w:eastAsia="楷体" w:hAnsi="Times New Roman"/>
          <w:color w:val="000000"/>
        </w:rPr>
        <w:t>）较少见。</w:t>
      </w:r>
    </w:p>
    <w:p w14:paraId="5AB0FCAC" w14:textId="35C5F48C" w:rsidR="003518FD" w:rsidRPr="008524AF" w:rsidRDefault="003518FD" w:rsidP="003518FD">
      <w:pPr>
        <w:spacing w:line="360" w:lineRule="auto"/>
      </w:pPr>
      <w:r>
        <w:rPr>
          <w:rFonts w:ascii="Arial" w:hAnsi="Arial" w:cs="Arial"/>
          <w:color w:val="222222"/>
          <w:sz w:val="20"/>
          <w:szCs w:val="20"/>
          <w:shd w:val="clear" w:color="auto" w:fill="FFFFFF"/>
        </w:rPr>
        <w:t>Ahlmann-Eltze C, Huber W. Comparison of transformations for single-cell RNA-seq data[J]. Nature Methods, 2023, 20(5): 665-672.</w:t>
      </w:r>
    </w:p>
    <w:p w14:paraId="3D38C174" w14:textId="6471C049" w:rsidR="003518FD" w:rsidRPr="00287E3F" w:rsidRDefault="00287E3F" w:rsidP="003518FD">
      <w:pPr>
        <w:rPr>
          <w:rFonts w:ascii="黑体" w:eastAsia="黑体" w:hAnsi="黑体"/>
          <w:color w:val="000000"/>
        </w:rPr>
      </w:pPr>
      <w:r w:rsidRPr="00287E3F">
        <w:rPr>
          <w:rFonts w:ascii="黑体" w:eastAsia="黑体" w:hAnsi="黑体"/>
          <w:color w:val="000000"/>
          <w:sz w:val="27"/>
          <w:szCs w:val="27"/>
        </w:rPr>
        <w:t>许多流行的单细胞分析工具都实现了该方法，例如：</w:t>
      </w:r>
    </w:p>
    <w:p w14:paraId="636BE626" w14:textId="77777777" w:rsidR="00287E3F" w:rsidRDefault="00287E3F" w:rsidP="003518FD">
      <w:pPr>
        <w:spacing w:line="360" w:lineRule="auto"/>
        <w:rPr>
          <w:rFonts w:ascii="Times New Roman" w:eastAsia="楷体" w:hAnsi="Times New Roman"/>
          <w:b/>
          <w:bCs/>
          <w:color w:val="FF0000"/>
        </w:rPr>
      </w:pPr>
    </w:p>
    <w:p w14:paraId="37A17463" w14:textId="6A0BD80A" w:rsidR="003518FD" w:rsidRPr="003518FD" w:rsidRDefault="003518FD" w:rsidP="003518FD">
      <w:pPr>
        <w:spacing w:line="360" w:lineRule="auto"/>
        <w:rPr>
          <w:rFonts w:ascii="Times New Roman" w:eastAsia="楷体" w:hAnsi="Times New Roman"/>
          <w:b/>
          <w:bCs/>
          <w:color w:val="FF0000"/>
        </w:rPr>
      </w:pPr>
      <w:r w:rsidRPr="003518FD">
        <w:rPr>
          <w:rFonts w:ascii="Times New Roman" w:eastAsia="楷体" w:hAnsi="Times New Roman"/>
          <w:b/>
          <w:bCs/>
          <w:color w:val="FF0000"/>
        </w:rPr>
        <w:t>Seurat</w:t>
      </w:r>
      <w:r w:rsidRPr="003518FD">
        <w:rPr>
          <w:rFonts w:ascii="Times New Roman" w:eastAsia="楷体" w:hAnsi="Times New Roman"/>
          <w:b/>
          <w:bCs/>
          <w:color w:val="FF0000"/>
        </w:rPr>
        <w:t>标准化步骤</w:t>
      </w:r>
      <w:r w:rsidRPr="003518FD">
        <w:rPr>
          <w:rFonts w:ascii="Times New Roman" w:eastAsia="楷体" w:hAnsi="Times New Roman"/>
          <w:b/>
          <w:bCs/>
          <w:color w:val="FF0000"/>
        </w:rPr>
        <w:t>NormalizeData()</w:t>
      </w:r>
      <w:r w:rsidRPr="003518FD">
        <w:rPr>
          <w:rFonts w:ascii="Times New Roman" w:eastAsia="楷体" w:hAnsi="Times New Roman"/>
          <w:b/>
          <w:bCs/>
          <w:color w:val="FF0000"/>
        </w:rPr>
        <w:t>：</w:t>
      </w:r>
    </w:p>
    <w:p w14:paraId="47FAB8E8" w14:textId="77777777" w:rsidR="003518FD" w:rsidRPr="003518FD" w:rsidRDefault="003518FD" w:rsidP="003518FD">
      <w:pPr>
        <w:spacing w:line="360" w:lineRule="auto"/>
        <w:ind w:firstLine="420"/>
        <w:rPr>
          <w:rFonts w:ascii="Times New Roman" w:eastAsia="楷体" w:hAnsi="Times New Roman"/>
          <w:color w:val="000000"/>
        </w:rPr>
      </w:pPr>
      <w:r w:rsidRPr="003518FD">
        <w:rPr>
          <w:rFonts w:ascii="Times New Roman" w:eastAsia="楷体" w:hAnsi="Times New Roman"/>
          <w:color w:val="000000"/>
        </w:rPr>
        <w:t xml:space="preserve">Seurat </w:t>
      </w:r>
      <w:r w:rsidRPr="003518FD">
        <w:rPr>
          <w:rFonts w:ascii="Times New Roman" w:eastAsia="楷体" w:hAnsi="Times New Roman"/>
          <w:color w:val="000000"/>
        </w:rPr>
        <w:t>提供了一种默认的标准化方法</w:t>
      </w:r>
      <w:r w:rsidRPr="003518FD">
        <w:rPr>
          <w:rFonts w:ascii="Times New Roman" w:eastAsia="楷体" w:hAnsi="Times New Roman"/>
          <w:color w:val="000000"/>
        </w:rPr>
        <w:t> LogNormalize</w:t>
      </w:r>
      <w:r w:rsidRPr="003518FD">
        <w:rPr>
          <w:rFonts w:ascii="Times New Roman" w:eastAsia="楷体" w:hAnsi="Times New Roman"/>
          <w:color w:val="000000"/>
        </w:rPr>
        <w:t>，计算方式为：</w:t>
      </w:r>
    </w:p>
    <w:p w14:paraId="4E51D5D4" w14:textId="21D9F4B4" w:rsidR="003518FD" w:rsidRPr="003518FD" w:rsidRDefault="003518FD" w:rsidP="003518FD">
      <w:pPr>
        <w:spacing w:line="360" w:lineRule="auto"/>
        <w:ind w:firstLine="420"/>
        <w:rPr>
          <w:rFonts w:ascii="Times New Roman" w:eastAsia="楷体" w:hAnsi="Times New Roman"/>
          <w:color w:val="000000"/>
        </w:rPr>
      </w:pPr>
      <w:r w:rsidRPr="003518FD">
        <w:rPr>
          <w:rFonts w:ascii="Times New Roman" w:eastAsia="楷体" w:hAnsi="Times New Roman"/>
          <w:color w:val="000000"/>
        </w:rPr>
        <w:lastRenderedPageBreak/>
        <w:t>将每个细胞的</w:t>
      </w:r>
      <w:r w:rsidRPr="003518FD">
        <w:rPr>
          <w:rFonts w:ascii="Times New Roman" w:eastAsia="楷体" w:hAnsi="Times New Roman"/>
          <w:color w:val="000000"/>
        </w:rPr>
        <w:t xml:space="preserve"> counts </w:t>
      </w:r>
      <w:r w:rsidRPr="003518FD">
        <w:rPr>
          <w:rFonts w:ascii="Times New Roman" w:eastAsia="楷体" w:hAnsi="Times New Roman"/>
          <w:color w:val="000000"/>
        </w:rPr>
        <w:t>除以该细胞的总</w:t>
      </w:r>
      <w:r w:rsidRPr="003518FD">
        <w:rPr>
          <w:rFonts w:ascii="Times New Roman" w:eastAsia="楷体" w:hAnsi="Times New Roman"/>
          <w:color w:val="000000"/>
        </w:rPr>
        <w:t xml:space="preserve"> counts</w:t>
      </w:r>
      <w:r w:rsidRPr="003518FD">
        <w:rPr>
          <w:rFonts w:ascii="Times New Roman" w:eastAsia="楷体" w:hAnsi="Times New Roman"/>
          <w:color w:val="000000"/>
        </w:rPr>
        <w:t>（即测序深度），得到一个归一化的值。乘以一个</w:t>
      </w:r>
      <w:r w:rsidRPr="003518FD">
        <w:rPr>
          <w:rFonts w:ascii="Times New Roman" w:eastAsia="楷体" w:hAnsi="Times New Roman"/>
          <w:b/>
          <w:bCs/>
          <w:color w:val="FF0000"/>
        </w:rPr>
        <w:t>缩放因子</w:t>
      </w:r>
      <w:r w:rsidRPr="003518FD">
        <w:rPr>
          <w:rFonts w:ascii="Times New Roman" w:eastAsia="楷体" w:hAnsi="Times New Roman"/>
          <w:color w:val="000000"/>
        </w:rPr>
        <w:t>（默认是</w:t>
      </w:r>
      <w:r w:rsidRPr="003518FD">
        <w:rPr>
          <w:rFonts w:ascii="Times New Roman" w:eastAsia="楷体" w:hAnsi="Times New Roman"/>
          <w:color w:val="000000"/>
        </w:rPr>
        <w:t xml:space="preserve"> 10,000</w:t>
      </w:r>
      <w:r w:rsidRPr="003518FD">
        <w:rPr>
          <w:rFonts w:ascii="Times New Roman" w:eastAsia="楷体" w:hAnsi="Times New Roman"/>
          <w:color w:val="000000"/>
        </w:rPr>
        <w:t>，参数</w:t>
      </w:r>
      <w:r w:rsidRPr="003518FD">
        <w:rPr>
          <w:rFonts w:ascii="Times New Roman" w:eastAsia="楷体" w:hAnsi="Times New Roman"/>
          <w:color w:val="000000"/>
        </w:rPr>
        <w:t> scale.factor </w:t>
      </w:r>
      <w:r w:rsidRPr="003518FD">
        <w:rPr>
          <w:rFonts w:ascii="Times New Roman" w:eastAsia="楷体" w:hAnsi="Times New Roman"/>
          <w:color w:val="000000"/>
        </w:rPr>
        <w:t>可调）。对结果取自然对数使用</w:t>
      </w:r>
      <w:r w:rsidRPr="003518FD">
        <w:rPr>
          <w:rFonts w:ascii="Times New Roman" w:eastAsia="楷体" w:hAnsi="Times New Roman"/>
          <w:color w:val="000000"/>
        </w:rPr>
        <w:t> log1p</w:t>
      </w:r>
      <w:r w:rsidRPr="003518FD">
        <w:rPr>
          <w:rFonts w:ascii="Times New Roman" w:eastAsia="楷体" w:hAnsi="Times New Roman"/>
          <w:color w:val="000000"/>
        </w:rPr>
        <w:t>，即</w:t>
      </w:r>
      <w:r w:rsidRPr="003518FD">
        <w:rPr>
          <w:rFonts w:ascii="Times New Roman" w:eastAsia="楷体" w:hAnsi="Times New Roman"/>
          <w:color w:val="000000"/>
        </w:rPr>
        <w:t> ln(1+x)</w:t>
      </w:r>
    </w:p>
    <w:p w14:paraId="30730576" w14:textId="77777777" w:rsidR="003518FD" w:rsidRDefault="003518FD" w:rsidP="003518FD">
      <w:pPr>
        <w:spacing w:line="360" w:lineRule="auto"/>
        <w:rPr>
          <w:rFonts w:ascii="Times New Roman" w:eastAsia="楷体" w:hAnsi="Times New Roman"/>
          <w:color w:val="000000"/>
        </w:rPr>
      </w:pPr>
    </w:p>
    <w:p w14:paraId="7B86B3C2" w14:textId="2B94FBC4" w:rsidR="003518FD" w:rsidRPr="003518FD" w:rsidRDefault="003518FD" w:rsidP="003518FD">
      <w:pPr>
        <w:spacing w:line="360" w:lineRule="auto"/>
        <w:rPr>
          <w:rFonts w:ascii="Times New Roman" w:eastAsia="楷体" w:hAnsi="Times New Roman"/>
          <w:b/>
          <w:bCs/>
          <w:color w:val="FF0000"/>
        </w:rPr>
      </w:pPr>
      <w:r w:rsidRPr="003518FD">
        <w:rPr>
          <w:rFonts w:ascii="Times New Roman" w:eastAsia="楷体" w:hAnsi="Times New Roman"/>
          <w:b/>
          <w:bCs/>
          <w:color w:val="FF0000"/>
        </w:rPr>
        <w:t>Scanpy</w:t>
      </w:r>
      <w:r w:rsidRPr="003518FD">
        <w:rPr>
          <w:rFonts w:ascii="Times New Roman" w:eastAsia="楷体" w:hAnsi="Times New Roman"/>
          <w:b/>
          <w:bCs/>
          <w:color w:val="FF0000"/>
        </w:rPr>
        <w:t>标准化步骤</w:t>
      </w:r>
      <w:r w:rsidRPr="003518FD">
        <w:rPr>
          <w:rFonts w:ascii="Times New Roman" w:eastAsia="楷体" w:hAnsi="Times New Roman"/>
          <w:b/>
          <w:bCs/>
          <w:color w:val="FF0000"/>
        </w:rPr>
        <w:t>scanpy.pp.normalize_total() </w:t>
      </w:r>
      <w:r w:rsidRPr="003518FD">
        <w:rPr>
          <w:rFonts w:ascii="Times New Roman" w:eastAsia="楷体" w:hAnsi="Times New Roman"/>
          <w:b/>
          <w:bCs/>
          <w:color w:val="FF0000"/>
        </w:rPr>
        <w:t>和</w:t>
      </w:r>
      <w:r w:rsidRPr="003518FD">
        <w:rPr>
          <w:rFonts w:ascii="Times New Roman" w:eastAsia="楷体" w:hAnsi="Times New Roman"/>
          <w:b/>
          <w:bCs/>
          <w:color w:val="FF0000"/>
        </w:rPr>
        <w:t> scanpy.pp.log1p()</w:t>
      </w:r>
      <w:r w:rsidRPr="003518FD">
        <w:rPr>
          <w:rFonts w:ascii="Times New Roman" w:eastAsia="楷体" w:hAnsi="Times New Roman"/>
          <w:b/>
          <w:bCs/>
          <w:color w:val="FF0000"/>
        </w:rPr>
        <w:t>：</w:t>
      </w:r>
    </w:p>
    <w:p w14:paraId="5F4D8327" w14:textId="10DBCD95" w:rsidR="008524AF" w:rsidRPr="00287E3F" w:rsidRDefault="003518FD" w:rsidP="003518FD">
      <w:pPr>
        <w:spacing w:line="360" w:lineRule="auto"/>
        <w:ind w:firstLine="420"/>
        <w:rPr>
          <w:rFonts w:ascii="Times New Roman" w:eastAsia="楷体" w:hAnsi="Times New Roman"/>
          <w:color w:val="000000"/>
        </w:rPr>
      </w:pPr>
      <w:r w:rsidRPr="003518FD">
        <w:rPr>
          <w:rFonts w:ascii="Times New Roman" w:eastAsia="楷体" w:hAnsi="Times New Roman"/>
          <w:color w:val="000000"/>
        </w:rPr>
        <w:t>normalize_total()</w:t>
      </w:r>
      <w:r w:rsidRPr="003518FD">
        <w:rPr>
          <w:rFonts w:ascii="Times New Roman" w:eastAsia="楷体" w:hAnsi="Times New Roman"/>
          <w:color w:val="000000"/>
        </w:rPr>
        <w:t>：将每个细胞的</w:t>
      </w:r>
      <w:r w:rsidRPr="003518FD">
        <w:rPr>
          <w:rFonts w:ascii="Times New Roman" w:eastAsia="楷体" w:hAnsi="Times New Roman"/>
          <w:color w:val="000000"/>
        </w:rPr>
        <w:t xml:space="preserve"> counts </w:t>
      </w:r>
      <w:r w:rsidRPr="003518FD">
        <w:rPr>
          <w:rFonts w:ascii="Times New Roman" w:eastAsia="楷体" w:hAnsi="Times New Roman"/>
          <w:color w:val="000000"/>
        </w:rPr>
        <w:t>除以该细胞的总</w:t>
      </w:r>
      <w:r w:rsidRPr="003518FD">
        <w:rPr>
          <w:rFonts w:ascii="Times New Roman" w:eastAsia="楷体" w:hAnsi="Times New Roman"/>
          <w:color w:val="000000"/>
        </w:rPr>
        <w:t xml:space="preserve"> counts</w:t>
      </w:r>
      <w:r w:rsidRPr="003518FD">
        <w:rPr>
          <w:rFonts w:ascii="Times New Roman" w:eastAsia="楷体" w:hAnsi="Times New Roman"/>
          <w:color w:val="000000"/>
        </w:rPr>
        <w:t>（测序深度），并乘以一个目标和（默认是</w:t>
      </w:r>
      <w:r w:rsidRPr="003518FD">
        <w:rPr>
          <w:rFonts w:ascii="Times New Roman" w:eastAsia="楷体" w:hAnsi="Times New Roman"/>
          <w:color w:val="000000"/>
        </w:rPr>
        <w:t xml:space="preserve"> 1e4</w:t>
      </w:r>
      <w:r w:rsidRPr="003518FD">
        <w:rPr>
          <w:rFonts w:ascii="Times New Roman" w:eastAsia="楷体" w:hAnsi="Times New Roman"/>
          <w:color w:val="000000"/>
        </w:rPr>
        <w:t>，类似</w:t>
      </w:r>
      <w:r w:rsidRPr="003518FD">
        <w:rPr>
          <w:rFonts w:ascii="Times New Roman" w:eastAsia="楷体" w:hAnsi="Times New Roman"/>
          <w:color w:val="000000"/>
        </w:rPr>
        <w:t xml:space="preserve"> Seurat </w:t>
      </w:r>
      <w:r w:rsidRPr="003518FD">
        <w:rPr>
          <w:rFonts w:ascii="Times New Roman" w:eastAsia="楷体" w:hAnsi="Times New Roman"/>
          <w:color w:val="000000"/>
        </w:rPr>
        <w:t>的</w:t>
      </w:r>
      <w:r w:rsidRPr="003518FD">
        <w:rPr>
          <w:rFonts w:ascii="Times New Roman" w:eastAsia="楷体" w:hAnsi="Times New Roman"/>
          <w:color w:val="000000"/>
        </w:rPr>
        <w:t xml:space="preserve"> 10,000</w:t>
      </w:r>
      <w:r w:rsidRPr="003518FD">
        <w:rPr>
          <w:rFonts w:ascii="Times New Roman" w:eastAsia="楷体" w:hAnsi="Times New Roman"/>
          <w:color w:val="000000"/>
        </w:rPr>
        <w:t>），生成归一化后的矩阵。</w:t>
      </w:r>
      <w:r w:rsidRPr="003518FD">
        <w:rPr>
          <w:rFonts w:ascii="Times New Roman" w:eastAsia="楷体" w:hAnsi="Times New Roman"/>
          <w:color w:val="000000"/>
        </w:rPr>
        <w:t>log1p()</w:t>
      </w:r>
      <w:r w:rsidRPr="003518FD">
        <w:rPr>
          <w:rFonts w:ascii="Times New Roman" w:eastAsia="楷体" w:hAnsi="Times New Roman"/>
          <w:color w:val="000000"/>
        </w:rPr>
        <w:t>：对归一化后的数据取自然对数</w:t>
      </w:r>
      <w:r w:rsidRPr="003518FD">
        <w:rPr>
          <w:rFonts w:ascii="Times New Roman" w:eastAsia="楷体" w:hAnsi="Times New Roman"/>
          <w:color w:val="000000"/>
        </w:rPr>
        <w:t>ln(1+x)</w:t>
      </w:r>
    </w:p>
    <w:p w14:paraId="3C728B50" w14:textId="77777777" w:rsidR="003518FD" w:rsidRPr="00287E3F" w:rsidRDefault="003518FD" w:rsidP="00287E3F">
      <w:pPr>
        <w:spacing w:line="360" w:lineRule="auto"/>
        <w:ind w:firstLine="420"/>
        <w:rPr>
          <w:rFonts w:ascii="Times New Roman" w:eastAsia="楷体" w:hAnsi="Times New Roman"/>
          <w:color w:val="000000"/>
        </w:rPr>
      </w:pPr>
    </w:p>
    <w:p w14:paraId="41B66F1E" w14:textId="71660FDE" w:rsidR="00287E3F" w:rsidRPr="00287E3F" w:rsidRDefault="00287E3F" w:rsidP="00287E3F">
      <w:pPr>
        <w:ind w:firstLine="420"/>
        <w:rPr>
          <w:color w:val="000000"/>
          <w:sz w:val="15"/>
          <w:szCs w:val="15"/>
        </w:rPr>
      </w:pPr>
      <w:r w:rsidRPr="00287E3F">
        <w:rPr>
          <w:rFonts w:ascii="Times New Roman" w:eastAsia="楷体" w:hAnsi="Times New Roman"/>
          <w:color w:val="000000"/>
          <w:sz w:val="15"/>
          <w:szCs w:val="15"/>
        </w:rPr>
        <w:t>单细胞</w:t>
      </w:r>
      <w:r w:rsidRPr="00287E3F">
        <w:rPr>
          <w:rFonts w:ascii="Times New Roman" w:eastAsia="楷体" w:hAnsi="Times New Roman"/>
          <w:color w:val="000000"/>
          <w:sz w:val="15"/>
          <w:szCs w:val="15"/>
        </w:rPr>
        <w:t xml:space="preserve"> RNA-seq </w:t>
      </w:r>
      <w:r w:rsidRPr="00287E3F">
        <w:rPr>
          <w:rFonts w:ascii="Times New Roman" w:eastAsia="楷体" w:hAnsi="Times New Roman"/>
          <w:color w:val="000000"/>
          <w:sz w:val="15"/>
          <w:szCs w:val="15"/>
        </w:rPr>
        <w:t>数据中，每个细胞的总</w:t>
      </w:r>
      <w:r w:rsidRPr="00287E3F">
        <w:rPr>
          <w:rFonts w:ascii="Times New Roman" w:eastAsia="楷体" w:hAnsi="Times New Roman"/>
          <w:color w:val="000000"/>
          <w:sz w:val="15"/>
          <w:szCs w:val="15"/>
        </w:rPr>
        <w:t xml:space="preserve"> UMI </w:t>
      </w:r>
      <w:r w:rsidRPr="00287E3F">
        <w:rPr>
          <w:rFonts w:ascii="Times New Roman" w:eastAsia="楷体" w:hAnsi="Times New Roman"/>
          <w:color w:val="000000"/>
          <w:sz w:val="15"/>
          <w:szCs w:val="15"/>
        </w:rPr>
        <w:t>计数通常在几百到几万之间（例如</w:t>
      </w:r>
      <w:r w:rsidRPr="00287E3F">
        <w:rPr>
          <w:rFonts w:ascii="Times New Roman" w:eastAsia="楷体" w:hAnsi="Times New Roman"/>
          <w:color w:val="000000"/>
          <w:sz w:val="15"/>
          <w:szCs w:val="15"/>
        </w:rPr>
        <w:t xml:space="preserve"> 1,000 </w:t>
      </w:r>
      <w:r w:rsidRPr="00287E3F">
        <w:rPr>
          <w:rFonts w:ascii="Times New Roman" w:eastAsia="楷体" w:hAnsi="Times New Roman"/>
          <w:color w:val="000000"/>
          <w:sz w:val="15"/>
          <w:szCs w:val="15"/>
        </w:rPr>
        <w:t>到</w:t>
      </w:r>
      <w:r w:rsidRPr="00287E3F">
        <w:rPr>
          <w:rFonts w:ascii="Times New Roman" w:eastAsia="楷体" w:hAnsi="Times New Roman"/>
          <w:color w:val="000000"/>
          <w:sz w:val="15"/>
          <w:szCs w:val="15"/>
        </w:rPr>
        <w:t xml:space="preserve"> 50,000</w:t>
      </w:r>
      <w:r w:rsidRPr="00287E3F">
        <w:rPr>
          <w:rFonts w:ascii="Times New Roman" w:eastAsia="楷体" w:hAnsi="Times New Roman"/>
          <w:color w:val="000000"/>
          <w:sz w:val="15"/>
          <w:szCs w:val="15"/>
        </w:rPr>
        <w:t>）。如果直接用占比（</w:t>
      </w:r>
      <w:r w:rsidRPr="00287E3F">
        <w:rPr>
          <w:rFonts w:ascii="Times New Roman" w:eastAsia="楷体" w:hAnsi="Times New Roman"/>
          <w:color w:val="000000"/>
          <w:sz w:val="15"/>
          <w:szCs w:val="15"/>
        </w:rPr>
        <w:t>counts / total counts</w:t>
      </w:r>
      <w:r w:rsidRPr="00287E3F">
        <w:rPr>
          <w:rFonts w:ascii="Times New Roman" w:eastAsia="楷体" w:hAnsi="Times New Roman"/>
          <w:color w:val="000000"/>
          <w:sz w:val="15"/>
          <w:szCs w:val="15"/>
        </w:rPr>
        <w:t>），结果会非常小（例如</w:t>
      </w:r>
      <w:r w:rsidRPr="00287E3F">
        <w:rPr>
          <w:rFonts w:ascii="Times New Roman" w:eastAsia="楷体" w:hAnsi="Times New Roman"/>
          <w:color w:val="000000"/>
          <w:sz w:val="15"/>
          <w:szCs w:val="15"/>
        </w:rPr>
        <w:t xml:space="preserve"> 10⁻⁵ </w:t>
      </w:r>
      <w:r w:rsidRPr="00287E3F">
        <w:rPr>
          <w:rFonts w:ascii="Times New Roman" w:eastAsia="楷体" w:hAnsi="Times New Roman"/>
          <w:color w:val="000000"/>
          <w:sz w:val="15"/>
          <w:szCs w:val="15"/>
        </w:rPr>
        <w:t>到</w:t>
      </w:r>
      <w:r w:rsidRPr="00287E3F">
        <w:rPr>
          <w:rFonts w:ascii="Times New Roman" w:eastAsia="楷体" w:hAnsi="Times New Roman"/>
          <w:color w:val="000000"/>
          <w:sz w:val="15"/>
          <w:szCs w:val="15"/>
        </w:rPr>
        <w:t xml:space="preserve"> 10⁻³</w:t>
      </w:r>
      <w:r w:rsidRPr="00287E3F">
        <w:rPr>
          <w:rFonts w:ascii="Times New Roman" w:eastAsia="楷体" w:hAnsi="Times New Roman"/>
          <w:color w:val="000000"/>
          <w:sz w:val="15"/>
          <w:szCs w:val="15"/>
        </w:rPr>
        <w:t>），不便于直观理解和后续计算。乘以</w:t>
      </w:r>
      <w:r w:rsidRPr="00287E3F">
        <w:rPr>
          <w:rFonts w:ascii="Times New Roman" w:eastAsia="楷体" w:hAnsi="Times New Roman"/>
          <w:color w:val="000000"/>
          <w:sz w:val="15"/>
          <w:szCs w:val="15"/>
        </w:rPr>
        <w:t xml:space="preserve"> 10,000 </w:t>
      </w:r>
      <w:r w:rsidRPr="00287E3F">
        <w:rPr>
          <w:rFonts w:ascii="Times New Roman" w:eastAsia="楷体" w:hAnsi="Times New Roman"/>
          <w:color w:val="000000"/>
          <w:sz w:val="15"/>
          <w:szCs w:val="15"/>
        </w:rPr>
        <w:t>后，标准化数据的值通常落在</w:t>
      </w:r>
      <w:r w:rsidRPr="00287E3F">
        <w:rPr>
          <w:rFonts w:ascii="Times New Roman" w:eastAsia="楷体" w:hAnsi="Times New Roman"/>
          <w:color w:val="000000"/>
          <w:sz w:val="15"/>
          <w:szCs w:val="15"/>
        </w:rPr>
        <w:t xml:space="preserve"> 0 </w:t>
      </w:r>
      <w:r w:rsidRPr="00287E3F">
        <w:rPr>
          <w:rFonts w:ascii="Times New Roman" w:eastAsia="楷体" w:hAnsi="Times New Roman"/>
          <w:color w:val="000000"/>
          <w:sz w:val="15"/>
          <w:szCs w:val="15"/>
        </w:rPr>
        <w:t>到几百的范围内（经过</w:t>
      </w:r>
      <w:r w:rsidRPr="00287E3F">
        <w:rPr>
          <w:rFonts w:ascii="Times New Roman" w:eastAsia="楷体" w:hAnsi="Times New Roman"/>
          <w:color w:val="000000"/>
          <w:sz w:val="15"/>
          <w:szCs w:val="15"/>
        </w:rPr>
        <w:t xml:space="preserve"> log </w:t>
      </w:r>
      <w:r w:rsidRPr="00287E3F">
        <w:rPr>
          <w:rFonts w:ascii="Times New Roman" w:eastAsia="楷体" w:hAnsi="Times New Roman"/>
          <w:color w:val="000000"/>
          <w:sz w:val="15"/>
          <w:szCs w:val="15"/>
        </w:rPr>
        <w:t>转化后为</w:t>
      </w:r>
      <w:r w:rsidRPr="00287E3F">
        <w:rPr>
          <w:rFonts w:ascii="Times New Roman" w:eastAsia="楷体" w:hAnsi="Times New Roman"/>
          <w:color w:val="000000"/>
          <w:sz w:val="15"/>
          <w:szCs w:val="15"/>
        </w:rPr>
        <w:t xml:space="preserve"> 0 </w:t>
      </w:r>
      <w:r w:rsidRPr="00287E3F">
        <w:rPr>
          <w:rFonts w:ascii="Times New Roman" w:eastAsia="楷体" w:hAnsi="Times New Roman"/>
          <w:color w:val="000000"/>
          <w:sz w:val="15"/>
          <w:szCs w:val="15"/>
        </w:rPr>
        <w:t>到</w:t>
      </w:r>
      <w:r w:rsidRPr="00287E3F">
        <w:rPr>
          <w:rFonts w:ascii="Times New Roman" w:eastAsia="楷体" w:hAnsi="Times New Roman"/>
          <w:color w:val="000000"/>
          <w:sz w:val="15"/>
          <w:szCs w:val="15"/>
        </w:rPr>
        <w:t xml:space="preserve"> 5 </w:t>
      </w:r>
      <w:r w:rsidRPr="00287E3F">
        <w:rPr>
          <w:rFonts w:ascii="Times New Roman" w:eastAsia="楷体" w:hAnsi="Times New Roman"/>
          <w:color w:val="000000"/>
          <w:sz w:val="15"/>
          <w:szCs w:val="15"/>
        </w:rPr>
        <w:t>左右），这与基因表达的生物学动态范围较为吻合，也方便可视化（如热图、散点图）。</w:t>
      </w:r>
      <w:r w:rsidRPr="00E16338">
        <w:rPr>
          <w:rFonts w:ascii="Times New Roman" w:eastAsia="楷体" w:hAnsi="Times New Roman"/>
          <w:color w:val="000000"/>
          <w:sz w:val="15"/>
          <w:szCs w:val="15"/>
        </w:rPr>
        <w:t>为什么不用</w:t>
      </w:r>
      <w:r w:rsidRPr="00E16338">
        <w:rPr>
          <w:rFonts w:ascii="Times New Roman" w:eastAsia="楷体" w:hAnsi="Times New Roman"/>
          <w:color w:val="000000"/>
          <w:sz w:val="15"/>
          <w:szCs w:val="15"/>
        </w:rPr>
        <w:t xml:space="preserve"> 1,000 </w:t>
      </w:r>
      <w:r w:rsidRPr="00E16338">
        <w:rPr>
          <w:rFonts w:ascii="Times New Roman" w:eastAsia="楷体" w:hAnsi="Times New Roman"/>
          <w:color w:val="000000"/>
          <w:sz w:val="15"/>
          <w:szCs w:val="15"/>
        </w:rPr>
        <w:t>或</w:t>
      </w:r>
      <w:r w:rsidRPr="00E16338">
        <w:rPr>
          <w:rFonts w:ascii="Times New Roman" w:eastAsia="楷体" w:hAnsi="Times New Roman"/>
          <w:color w:val="000000"/>
          <w:sz w:val="15"/>
          <w:szCs w:val="15"/>
        </w:rPr>
        <w:t xml:space="preserve"> 100,000</w:t>
      </w:r>
      <w:r w:rsidRPr="00E16338">
        <w:rPr>
          <w:rFonts w:ascii="Times New Roman" w:eastAsia="楷体" w:hAnsi="Times New Roman"/>
          <w:color w:val="000000"/>
          <w:sz w:val="15"/>
          <w:szCs w:val="15"/>
        </w:rPr>
        <w:t>？</w:t>
      </w:r>
      <w:r w:rsidRPr="00287E3F">
        <w:rPr>
          <w:rFonts w:ascii="Times New Roman" w:eastAsia="楷体" w:hAnsi="Times New Roman"/>
          <w:color w:val="000000"/>
          <w:sz w:val="15"/>
          <w:szCs w:val="15"/>
        </w:rPr>
        <w:t>如果缩放因子太小（如</w:t>
      </w:r>
      <w:r w:rsidRPr="00287E3F">
        <w:rPr>
          <w:rFonts w:ascii="Times New Roman" w:eastAsia="楷体" w:hAnsi="Times New Roman"/>
          <w:color w:val="000000"/>
          <w:sz w:val="15"/>
          <w:szCs w:val="15"/>
        </w:rPr>
        <w:t xml:space="preserve"> 1,000</w:t>
      </w:r>
      <w:r w:rsidRPr="00287E3F">
        <w:rPr>
          <w:rFonts w:ascii="Times New Roman" w:eastAsia="楷体" w:hAnsi="Times New Roman"/>
          <w:color w:val="000000"/>
          <w:sz w:val="15"/>
          <w:szCs w:val="15"/>
        </w:rPr>
        <w:t>），标准化后的值范围会偏小，可能导致</w:t>
      </w:r>
      <w:r w:rsidRPr="00287E3F">
        <w:rPr>
          <w:rFonts w:ascii="Times New Roman" w:eastAsia="楷体" w:hAnsi="Times New Roman"/>
          <w:color w:val="000000"/>
          <w:sz w:val="15"/>
          <w:szCs w:val="15"/>
        </w:rPr>
        <w:t xml:space="preserve"> log </w:t>
      </w:r>
      <w:r w:rsidRPr="00287E3F">
        <w:rPr>
          <w:rFonts w:ascii="Times New Roman" w:eastAsia="楷体" w:hAnsi="Times New Roman"/>
          <w:color w:val="000000"/>
          <w:sz w:val="15"/>
          <w:szCs w:val="15"/>
        </w:rPr>
        <w:t>转化后的数值过于压缩，丢失分辨率。如果缩放因子太大（如</w:t>
      </w:r>
      <w:r w:rsidRPr="00287E3F">
        <w:rPr>
          <w:rFonts w:ascii="Times New Roman" w:eastAsia="楷体" w:hAnsi="Times New Roman"/>
          <w:color w:val="000000"/>
          <w:sz w:val="15"/>
          <w:szCs w:val="15"/>
        </w:rPr>
        <w:t xml:space="preserve"> 100,000</w:t>
      </w:r>
      <w:r w:rsidRPr="00287E3F">
        <w:rPr>
          <w:rFonts w:ascii="Times New Roman" w:eastAsia="楷体" w:hAnsi="Times New Roman"/>
          <w:color w:val="000000"/>
          <w:sz w:val="15"/>
          <w:szCs w:val="15"/>
        </w:rPr>
        <w:t>），数值范围会过大，</w:t>
      </w:r>
      <w:r w:rsidRPr="00287E3F">
        <w:rPr>
          <w:rFonts w:ascii="Times New Roman" w:eastAsia="楷体" w:hAnsi="Times New Roman"/>
          <w:color w:val="000000"/>
          <w:sz w:val="15"/>
          <w:szCs w:val="15"/>
        </w:rPr>
        <w:t xml:space="preserve">log </w:t>
      </w:r>
      <w:r w:rsidRPr="00287E3F">
        <w:rPr>
          <w:rFonts w:ascii="Times New Roman" w:eastAsia="楷体" w:hAnsi="Times New Roman"/>
          <w:color w:val="000000"/>
          <w:sz w:val="15"/>
          <w:szCs w:val="15"/>
        </w:rPr>
        <w:t>转化后可能放大噪声，尤其是在低表达基因中。</w:t>
      </w:r>
      <w:r w:rsidRPr="00287E3F">
        <w:rPr>
          <w:rFonts w:ascii="Times New Roman" w:eastAsia="楷体" w:hAnsi="Times New Roman"/>
          <w:color w:val="000000"/>
          <w:sz w:val="15"/>
          <w:szCs w:val="15"/>
        </w:rPr>
        <w:t xml:space="preserve">10,000 </w:t>
      </w:r>
      <w:r w:rsidRPr="00287E3F">
        <w:rPr>
          <w:rFonts w:ascii="Times New Roman" w:eastAsia="楷体" w:hAnsi="Times New Roman"/>
          <w:color w:val="000000"/>
          <w:sz w:val="15"/>
          <w:szCs w:val="15"/>
        </w:rPr>
        <w:t>是一个折中的选择，既不过分压缩也不过分放大，同时保持数据的动态范围适合大多数下游分析（如聚类、差异表达分析）。</w:t>
      </w:r>
    </w:p>
    <w:p w14:paraId="5FDD6133" w14:textId="0ED19C88" w:rsidR="003518FD" w:rsidRDefault="003518FD" w:rsidP="006F1A9C">
      <w:pPr>
        <w:spacing w:line="360" w:lineRule="auto"/>
        <w:rPr>
          <w:rFonts w:ascii="Times New Roman" w:eastAsia="楷体" w:hAnsi="Times New Roman"/>
          <w:color w:val="000000"/>
        </w:rPr>
      </w:pPr>
    </w:p>
    <w:p w14:paraId="4FB1733B" w14:textId="69D5D737" w:rsidR="00E16338" w:rsidRDefault="00E16338" w:rsidP="00E16338">
      <w:pPr>
        <w:pStyle w:val="break-words"/>
        <w:numPr>
          <w:ilvl w:val="0"/>
          <w:numId w:val="27"/>
        </w:numPr>
        <w:rPr>
          <w:color w:val="000000"/>
        </w:rPr>
      </w:pPr>
      <w:r>
        <w:rPr>
          <w:rStyle w:val="ae"/>
          <w:color w:val="000000"/>
        </w:rPr>
        <w:t>基因水平处理（Feature-level processing）</w:t>
      </w:r>
    </w:p>
    <w:p w14:paraId="25600C5B" w14:textId="77777777" w:rsidR="006F1A9C" w:rsidRPr="00E16338" w:rsidRDefault="006F1A9C" w:rsidP="006F1A9C">
      <w:pPr>
        <w:pStyle w:val="break-words"/>
        <w:rPr>
          <w:rFonts w:ascii="Times New Roman" w:eastAsia="楷体" w:hAnsi="Times New Roman"/>
          <w:color w:val="000000"/>
        </w:rPr>
      </w:pPr>
      <w:r w:rsidRPr="00E16338">
        <w:rPr>
          <w:rFonts w:ascii="Times New Roman" w:eastAsia="楷体" w:hAnsi="Times New Roman"/>
          <w:color w:val="000000"/>
        </w:rPr>
        <w:t>单细胞</w:t>
      </w:r>
      <w:r w:rsidRPr="00E16338">
        <w:rPr>
          <w:rFonts w:ascii="Times New Roman" w:eastAsia="楷体" w:hAnsi="Times New Roman"/>
          <w:color w:val="000000"/>
        </w:rPr>
        <w:t xml:space="preserve">RNA-seq </w:t>
      </w:r>
      <w:r w:rsidRPr="00E16338">
        <w:rPr>
          <w:rFonts w:ascii="Times New Roman" w:eastAsia="楷体" w:hAnsi="Times New Roman"/>
          <w:color w:val="000000"/>
        </w:rPr>
        <w:t>数据具有以下特点：</w:t>
      </w:r>
    </w:p>
    <w:p w14:paraId="70C6C676" w14:textId="77777777" w:rsidR="006F1A9C" w:rsidRPr="00E16338" w:rsidRDefault="006F1A9C" w:rsidP="00E16338">
      <w:pPr>
        <w:pStyle w:val="break-words"/>
        <w:numPr>
          <w:ilvl w:val="0"/>
          <w:numId w:val="19"/>
        </w:numPr>
        <w:rPr>
          <w:rFonts w:ascii="Times New Roman" w:eastAsia="楷体" w:hAnsi="Times New Roman"/>
          <w:color w:val="000000"/>
          <w:sz w:val="22"/>
          <w:szCs w:val="22"/>
        </w:rPr>
      </w:pPr>
      <w:r w:rsidRPr="00E16338">
        <w:rPr>
          <w:rFonts w:ascii="Times New Roman" w:eastAsia="楷体" w:hAnsi="Times New Roman"/>
          <w:b/>
          <w:bCs/>
          <w:sz w:val="22"/>
          <w:szCs w:val="22"/>
        </w:rPr>
        <w:t>高维性</w:t>
      </w:r>
      <w:r w:rsidRPr="00E16338">
        <w:rPr>
          <w:rFonts w:ascii="Times New Roman" w:eastAsia="楷体" w:hAnsi="Times New Roman"/>
          <w:color w:val="000000"/>
          <w:sz w:val="22"/>
          <w:szCs w:val="22"/>
        </w:rPr>
        <w:t>：每个细胞可能测定数万个基因的表达量。</w:t>
      </w:r>
    </w:p>
    <w:p w14:paraId="14B8A10B" w14:textId="77777777" w:rsidR="006F1A9C" w:rsidRPr="00E16338" w:rsidRDefault="006F1A9C" w:rsidP="00E16338">
      <w:pPr>
        <w:pStyle w:val="break-words"/>
        <w:numPr>
          <w:ilvl w:val="0"/>
          <w:numId w:val="19"/>
        </w:numPr>
        <w:rPr>
          <w:rFonts w:ascii="Times New Roman" w:eastAsia="楷体" w:hAnsi="Times New Roman"/>
          <w:color w:val="000000"/>
          <w:sz w:val="22"/>
          <w:szCs w:val="22"/>
        </w:rPr>
      </w:pPr>
      <w:r w:rsidRPr="00E16338">
        <w:rPr>
          <w:rFonts w:ascii="Times New Roman" w:eastAsia="楷体" w:hAnsi="Times New Roman"/>
          <w:b/>
          <w:bCs/>
          <w:sz w:val="22"/>
          <w:szCs w:val="22"/>
        </w:rPr>
        <w:t>稀疏性</w:t>
      </w:r>
      <w:r w:rsidRPr="00E16338">
        <w:rPr>
          <w:rFonts w:ascii="Times New Roman" w:eastAsia="楷体" w:hAnsi="Times New Roman"/>
          <w:color w:val="000000"/>
          <w:sz w:val="22"/>
          <w:szCs w:val="22"/>
        </w:rPr>
        <w:t>：由于技术限制，许多基因在大多数细胞中表达为零（</w:t>
      </w:r>
      <w:r w:rsidRPr="00E16338">
        <w:rPr>
          <w:rFonts w:ascii="Times New Roman" w:eastAsia="楷体" w:hAnsi="Times New Roman"/>
          <w:color w:val="000000"/>
          <w:sz w:val="22"/>
          <w:szCs w:val="22"/>
        </w:rPr>
        <w:t>dropout</w:t>
      </w:r>
      <w:r w:rsidRPr="00E16338">
        <w:rPr>
          <w:rFonts w:ascii="Times New Roman" w:eastAsia="楷体" w:hAnsi="Times New Roman"/>
          <w:color w:val="000000"/>
          <w:sz w:val="22"/>
          <w:szCs w:val="22"/>
        </w:rPr>
        <w:t>）。</w:t>
      </w:r>
    </w:p>
    <w:p w14:paraId="0A06E65C" w14:textId="77777777" w:rsidR="006F1A9C" w:rsidRPr="00E16338" w:rsidRDefault="006F1A9C" w:rsidP="00E16338">
      <w:pPr>
        <w:pStyle w:val="break-words"/>
        <w:numPr>
          <w:ilvl w:val="0"/>
          <w:numId w:val="19"/>
        </w:numPr>
        <w:rPr>
          <w:rFonts w:ascii="Times New Roman" w:eastAsia="楷体" w:hAnsi="Times New Roman"/>
          <w:color w:val="000000"/>
          <w:sz w:val="22"/>
          <w:szCs w:val="22"/>
        </w:rPr>
      </w:pPr>
      <w:r w:rsidRPr="00E16338">
        <w:rPr>
          <w:rFonts w:ascii="Times New Roman" w:eastAsia="楷体" w:hAnsi="Times New Roman"/>
          <w:b/>
          <w:bCs/>
          <w:sz w:val="22"/>
          <w:szCs w:val="22"/>
        </w:rPr>
        <w:t>噪声</w:t>
      </w:r>
      <w:r w:rsidRPr="00E16338">
        <w:rPr>
          <w:rFonts w:ascii="Times New Roman" w:eastAsia="楷体" w:hAnsi="Times New Roman"/>
          <w:color w:val="000000"/>
          <w:sz w:val="22"/>
          <w:szCs w:val="22"/>
        </w:rPr>
        <w:t>：数据中存在技术噪声（如测序深度差异）和生物学无关的变异（如管家基因的均匀表达）。</w:t>
      </w:r>
    </w:p>
    <w:p w14:paraId="45C01636" w14:textId="77777777" w:rsidR="006F1A9C" w:rsidRPr="00E16338" w:rsidRDefault="006F1A9C" w:rsidP="006F1A9C">
      <w:pPr>
        <w:pStyle w:val="break-words"/>
        <w:rPr>
          <w:rFonts w:ascii="Times New Roman" w:eastAsia="楷体" w:hAnsi="Times New Roman"/>
          <w:color w:val="000000"/>
        </w:rPr>
      </w:pPr>
      <w:r w:rsidRPr="00E16338">
        <w:rPr>
          <w:rFonts w:ascii="Times New Roman" w:eastAsia="楷体" w:hAnsi="Times New Roman"/>
          <w:color w:val="000000"/>
        </w:rPr>
        <w:t>如果直接使用所有基因进行分析：</w:t>
      </w:r>
    </w:p>
    <w:p w14:paraId="7520F7B2" w14:textId="77777777" w:rsidR="006F1A9C" w:rsidRPr="00E16338" w:rsidRDefault="006F1A9C" w:rsidP="006F1A9C">
      <w:pPr>
        <w:pStyle w:val="break-words"/>
        <w:numPr>
          <w:ilvl w:val="0"/>
          <w:numId w:val="20"/>
        </w:numPr>
        <w:rPr>
          <w:rFonts w:ascii="Times New Roman" w:eastAsia="楷体" w:hAnsi="Times New Roman"/>
          <w:color w:val="000000"/>
        </w:rPr>
      </w:pPr>
      <w:r w:rsidRPr="00E16338">
        <w:rPr>
          <w:rFonts w:ascii="Times New Roman" w:eastAsia="楷体" w:hAnsi="Times New Roman"/>
          <w:color w:val="000000"/>
        </w:rPr>
        <w:t>计算成本高。</w:t>
      </w:r>
    </w:p>
    <w:p w14:paraId="0CCB5EF4" w14:textId="77777777" w:rsidR="006F1A9C" w:rsidRPr="00E16338" w:rsidRDefault="006F1A9C" w:rsidP="006F1A9C">
      <w:pPr>
        <w:pStyle w:val="break-words"/>
        <w:numPr>
          <w:ilvl w:val="0"/>
          <w:numId w:val="20"/>
        </w:numPr>
        <w:rPr>
          <w:rFonts w:ascii="Times New Roman" w:eastAsia="楷体" w:hAnsi="Times New Roman"/>
          <w:color w:val="000000"/>
        </w:rPr>
      </w:pPr>
      <w:r w:rsidRPr="00E16338">
        <w:rPr>
          <w:rFonts w:ascii="Times New Roman" w:eastAsia="楷体" w:hAnsi="Times New Roman"/>
          <w:color w:val="000000"/>
        </w:rPr>
        <w:t>噪声可能会掩盖生物学信号，导致降维或聚类结果不准确。</w:t>
      </w:r>
    </w:p>
    <w:p w14:paraId="26BB040B" w14:textId="524C58BF" w:rsidR="00E16338" w:rsidRPr="00E16338" w:rsidRDefault="00E16338" w:rsidP="00E16338">
      <w:pPr>
        <w:pStyle w:val="break-words"/>
        <w:rPr>
          <w:rFonts w:ascii="Times New Roman" w:eastAsia="楷体" w:hAnsi="Times New Roman"/>
          <w:color w:val="000000"/>
        </w:rPr>
      </w:pPr>
      <w:r>
        <w:rPr>
          <w:rFonts w:ascii="Times New Roman" w:eastAsia="楷体" w:hAnsi="Times New Roman" w:hint="eastAsia"/>
          <w:color w:val="000000"/>
        </w:rPr>
        <w:t>因此筛选</w:t>
      </w:r>
      <w:r w:rsidRPr="00E16338">
        <w:rPr>
          <w:rFonts w:ascii="Times New Roman" w:eastAsia="楷体" w:hAnsi="Times New Roman"/>
          <w:color w:val="000000"/>
        </w:rPr>
        <w:t>Highly Variable Genes</w:t>
      </w:r>
      <w:r w:rsidRPr="00E16338">
        <w:rPr>
          <w:rFonts w:ascii="Times New Roman" w:eastAsia="楷体" w:hAnsi="Times New Roman" w:hint="eastAsia"/>
          <w:color w:val="000000"/>
        </w:rPr>
        <w:t>，</w:t>
      </w:r>
      <w:r w:rsidRPr="00E16338">
        <w:rPr>
          <w:rFonts w:ascii="Times New Roman" w:eastAsia="楷体" w:hAnsi="Times New Roman"/>
          <w:color w:val="000000"/>
        </w:rPr>
        <w:t>HVG</w:t>
      </w:r>
      <w:r w:rsidRPr="00E16338">
        <w:rPr>
          <w:rFonts w:ascii="Times New Roman" w:eastAsia="楷体" w:hAnsi="Times New Roman"/>
          <w:color w:val="000000"/>
        </w:rPr>
        <w:t>高变基因是单细胞数据中表达变异较大的基因，反映细胞间的生物学差异。</w:t>
      </w:r>
    </w:p>
    <w:p w14:paraId="488004FC" w14:textId="6F96E30C" w:rsidR="006F1A9C" w:rsidRPr="00E16338" w:rsidRDefault="006F1A9C" w:rsidP="00E16338">
      <w:pPr>
        <w:rPr>
          <w:rFonts w:ascii="Times New Roman" w:eastAsia="楷体" w:hAnsi="Times New Roman"/>
          <w:color w:val="000000"/>
        </w:rPr>
      </w:pPr>
    </w:p>
    <w:p w14:paraId="0660E7F6" w14:textId="77777777" w:rsidR="00E16338" w:rsidRDefault="00E16338">
      <w:pPr>
        <w:rPr>
          <w:rFonts w:ascii="Times New Roman" w:eastAsia="楷体" w:hAnsi="Times New Roman"/>
          <w:color w:val="000000"/>
        </w:rPr>
      </w:pPr>
    </w:p>
    <w:p w14:paraId="7926D874" w14:textId="238D76ED" w:rsidR="003E67F9" w:rsidRDefault="003E67F9" w:rsidP="00AC55DB">
      <w:pPr>
        <w:pStyle w:val="2"/>
      </w:pPr>
      <w:r>
        <w:rPr>
          <w:rFonts w:hint="eastAsia"/>
        </w:rPr>
        <w:lastRenderedPageBreak/>
        <w:t>单细胞数据过滤</w:t>
      </w:r>
      <w:r w:rsidR="00C25674">
        <w:rPr>
          <w:rFonts w:hint="eastAsia"/>
        </w:rPr>
        <w:t>-线粒体</w:t>
      </w:r>
    </w:p>
    <w:p w14:paraId="12266857" w14:textId="0A95C9EF" w:rsidR="00291375" w:rsidRDefault="004F6C59" w:rsidP="004F6C59">
      <w:pPr>
        <w:ind w:firstLine="420"/>
        <w:rPr>
          <w:rFonts w:ascii="楷体" w:eastAsia="楷体" w:hAnsi="楷体"/>
          <w:color w:val="000000"/>
        </w:rPr>
      </w:pPr>
      <w:r w:rsidRPr="004F6C59">
        <w:rPr>
          <w:rFonts w:ascii="楷体" w:eastAsia="楷体" w:hAnsi="楷体"/>
          <w:color w:val="000000"/>
        </w:rPr>
        <w:t>线粒体基因比例超过</w:t>
      </w:r>
      <w:r w:rsidRPr="004F6C59">
        <w:rPr>
          <w:rFonts w:ascii="Times New Roman" w:eastAsia="楷体" w:hAnsi="Times New Roman" w:cs="Times New Roman"/>
          <w:color w:val="000000"/>
        </w:rPr>
        <w:t xml:space="preserve"> 5% </w:t>
      </w:r>
      <w:r w:rsidRPr="004F6C59">
        <w:rPr>
          <w:rFonts w:ascii="楷体" w:eastAsia="楷体" w:hAnsi="楷体"/>
          <w:color w:val="000000"/>
        </w:rPr>
        <w:t xml:space="preserve">至 </w:t>
      </w:r>
      <w:r w:rsidRPr="004F6C59">
        <w:rPr>
          <w:rFonts w:ascii="Times New Roman" w:eastAsia="楷体" w:hAnsi="Times New Roman" w:cs="Times New Roman"/>
          <w:color w:val="000000"/>
        </w:rPr>
        <w:t xml:space="preserve">15% </w:t>
      </w:r>
      <w:r w:rsidRPr="004F6C59">
        <w:rPr>
          <w:rFonts w:ascii="楷体" w:eastAsia="楷体" w:hAnsi="楷体"/>
          <w:color w:val="000000"/>
        </w:rPr>
        <w:t>的细胞被视为低质量细胞并予以剔除。然而，基于线粒体基因比例去除细胞的标准可能因物种、样本类型和实验条件等因素而有所不同。例如，与小鼠相比，人类样本通常表现出更高比例的线粒体基因，而新陈代谢高度活跃的组织（如肾脏）可能会显示出较强的线粒体基因表达。</w:t>
      </w:r>
      <w:r w:rsidR="00AC55DB" w:rsidRPr="00AC55DB">
        <w:rPr>
          <w:rFonts w:ascii="楷体" w:eastAsia="楷体" w:hAnsi="楷体"/>
          <w:color w:val="000000"/>
        </w:rPr>
        <w:t>例如，在能量需求较低的组织中，</w:t>
      </w:r>
      <w:r w:rsidR="00AC55DB" w:rsidRPr="00AC55DB">
        <w:rPr>
          <w:rFonts w:ascii="Times New Roman" w:eastAsia="楷体" w:hAnsi="Times New Roman" w:cs="Times New Roman"/>
          <w:color w:val="000000"/>
        </w:rPr>
        <w:t xml:space="preserve">30% </w:t>
      </w:r>
      <w:r w:rsidR="00AC55DB" w:rsidRPr="00AC55DB">
        <w:rPr>
          <w:rFonts w:ascii="楷体" w:eastAsia="楷体" w:hAnsi="楷体"/>
          <w:color w:val="000000"/>
        </w:rPr>
        <w:t>的线粒体</w:t>
      </w:r>
      <w:r w:rsidR="00AC55DB" w:rsidRPr="00AC55DB">
        <w:rPr>
          <w:rFonts w:ascii="Times New Roman" w:eastAsia="楷体" w:hAnsi="Times New Roman" w:cs="Times New Roman"/>
          <w:color w:val="000000"/>
        </w:rPr>
        <w:t xml:space="preserve"> mRNA </w:t>
      </w:r>
      <w:r w:rsidR="00AC55DB" w:rsidRPr="00AC55DB">
        <w:rPr>
          <w:rFonts w:ascii="楷体" w:eastAsia="楷体" w:hAnsi="楷体"/>
          <w:color w:val="000000"/>
        </w:rPr>
        <w:t>可能表明细胞应激或凋亡，而对于能量需求较高的健康心肌细胞来说，这一比例是正常的</w:t>
      </w:r>
      <w:r w:rsidR="00AC55DB" w:rsidRPr="00AC55DB">
        <w:rPr>
          <w:rFonts w:ascii="楷体" w:eastAsia="楷体" w:hAnsi="楷体" w:hint="eastAsia"/>
          <w:color w:val="000000"/>
        </w:rPr>
        <w:t>。</w:t>
      </w:r>
      <w:r w:rsidR="00AC55DB" w:rsidRPr="00AC55DB">
        <w:rPr>
          <w:rFonts w:ascii="楷体" w:eastAsia="楷体" w:hAnsi="楷体"/>
          <w:color w:val="000000"/>
        </w:rPr>
        <w:t>线粒体转录本并不会在细胞核中表达。然而，在</w:t>
      </w:r>
      <w:r w:rsidR="00AC55DB" w:rsidRPr="00AC55DB">
        <w:rPr>
          <w:rFonts w:ascii="Times New Roman" w:eastAsia="楷体" w:hAnsi="Times New Roman" w:cs="Times New Roman"/>
          <w:color w:val="000000"/>
        </w:rPr>
        <w:t xml:space="preserve"> snRNA-seq </w:t>
      </w:r>
      <w:r w:rsidR="00AC55DB" w:rsidRPr="00AC55DB">
        <w:rPr>
          <w:rFonts w:ascii="楷体" w:eastAsia="楷体" w:hAnsi="楷体"/>
          <w:color w:val="000000"/>
        </w:rPr>
        <w:t>数据中，仍然检测到不同数量的线粒体转录本</w:t>
      </w:r>
      <w:r w:rsidR="00AC55DB">
        <w:rPr>
          <w:rFonts w:ascii="楷体" w:eastAsia="楷体" w:hAnsi="楷体" w:hint="eastAsia"/>
          <w:color w:val="000000"/>
        </w:rPr>
        <w:t>。</w:t>
      </w:r>
    </w:p>
    <w:p w14:paraId="0EC7DDBB" w14:textId="51006BE5" w:rsidR="00A21675" w:rsidRPr="00A21675" w:rsidRDefault="00A21675" w:rsidP="00A21675">
      <w:pPr>
        <w:pStyle w:val="a9"/>
        <w:widowControl/>
        <w:numPr>
          <w:ilvl w:val="0"/>
          <w:numId w:val="6"/>
        </w:numPr>
        <w:rPr>
          <w:rFonts w:ascii="Arial" w:hAnsi="Arial" w:cs="Arial"/>
          <w:color w:val="222222"/>
          <w:sz w:val="13"/>
          <w:szCs w:val="13"/>
          <w:shd w:val="clear" w:color="auto" w:fill="FFFFFF"/>
        </w:rPr>
      </w:pPr>
      <w:r w:rsidRPr="00A21675">
        <w:rPr>
          <w:rFonts w:ascii="Arial" w:hAnsi="Arial" w:cs="Arial"/>
          <w:color w:val="222222"/>
          <w:sz w:val="13"/>
          <w:szCs w:val="13"/>
          <w:shd w:val="clear" w:color="auto" w:fill="FFFFFF"/>
        </w:rPr>
        <w:t>Kim G D, Lim C, Park J. A practical handbook on single-cell RNA sequencing data quality control and downstream analysis[J]. Molecules and Cells, 2024, 47(9): 100103.</w:t>
      </w:r>
    </w:p>
    <w:p w14:paraId="6B9A0F49" w14:textId="23CD43B6" w:rsidR="003E67F9" w:rsidRPr="00291375" w:rsidRDefault="00291375" w:rsidP="00291375">
      <w:pPr>
        <w:jc w:val="center"/>
        <w:rPr>
          <w:rFonts w:ascii="Times New Roman" w:hAnsi="Times New Roman" w:cs="Times New Roman"/>
          <w:b/>
          <w:bCs/>
          <w:color w:val="FF0000"/>
          <w:sz w:val="18"/>
          <w:szCs w:val="18"/>
          <w:shd w:val="clear" w:color="auto" w:fill="FFFFFF"/>
        </w:rPr>
      </w:pPr>
      <w:r w:rsidRPr="00291375">
        <w:rPr>
          <w:rFonts w:ascii="Times New Roman" w:hAnsi="Times New Roman" w:cs="Times New Roman"/>
          <w:b/>
          <w:bCs/>
          <w:color w:val="FF0000"/>
          <w:sz w:val="18"/>
          <w:szCs w:val="18"/>
          <w:shd w:val="clear" w:color="auto" w:fill="FFFFFF"/>
        </w:rPr>
        <w:t>Roadmap for typical single-cell RNA sequencing data analysis</w:t>
      </w:r>
    </w:p>
    <w:p w14:paraId="10362FBB" w14:textId="53870831" w:rsidR="00291375" w:rsidRDefault="00291375">
      <w:pPr>
        <w:rPr>
          <w:rFonts w:ascii="Arial" w:hAnsi="Arial" w:cs="Arial"/>
          <w:color w:val="222222"/>
          <w:sz w:val="20"/>
          <w:szCs w:val="20"/>
          <w:shd w:val="clear" w:color="auto" w:fill="FFFFFF"/>
        </w:rPr>
      </w:pPr>
      <w:r>
        <w:rPr>
          <w:rFonts w:ascii="Arial" w:hAnsi="Arial" w:cs="Arial"/>
          <w:noProof/>
          <w:color w:val="222222"/>
          <w:sz w:val="20"/>
          <w:szCs w:val="20"/>
          <w:shd w:val="clear" w:color="auto" w:fill="FFFFFF"/>
        </w:rPr>
        <w:drawing>
          <wp:inline distT="0" distB="0" distL="0" distR="0" wp14:anchorId="7E521BE2" wp14:editId="62D52B5C">
            <wp:extent cx="5080000" cy="2222500"/>
            <wp:effectExtent l="0" t="0" r="0" b="0"/>
            <wp:docPr id="11029073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07302" name="图片 1102907302"/>
                    <pic:cNvPicPr/>
                  </pic:nvPicPr>
                  <pic:blipFill>
                    <a:blip r:embed="rId13">
                      <a:extLst>
                        <a:ext uri="{28A0092B-C50C-407E-A947-70E740481C1C}">
                          <a14:useLocalDpi xmlns:a14="http://schemas.microsoft.com/office/drawing/2010/main" val="0"/>
                        </a:ext>
                      </a:extLst>
                    </a:blip>
                    <a:stretch>
                      <a:fillRect/>
                    </a:stretch>
                  </pic:blipFill>
                  <pic:spPr>
                    <a:xfrm>
                      <a:off x="0" y="0"/>
                      <a:ext cx="5080000" cy="2222500"/>
                    </a:xfrm>
                    <a:prstGeom prst="rect">
                      <a:avLst/>
                    </a:prstGeom>
                  </pic:spPr>
                </pic:pic>
              </a:graphicData>
            </a:graphic>
          </wp:inline>
        </w:drawing>
      </w:r>
    </w:p>
    <w:p w14:paraId="7A4D1271" w14:textId="0EA80346" w:rsidR="00291375" w:rsidRDefault="00291375" w:rsidP="00291375">
      <w:pPr>
        <w:jc w:val="center"/>
        <w:rPr>
          <w:rFonts w:ascii="Times New Roman" w:hAnsi="Times New Roman" w:cs="Times New Roman"/>
          <w:b/>
          <w:bCs/>
          <w:color w:val="FF0000"/>
          <w:sz w:val="18"/>
          <w:szCs w:val="18"/>
          <w:shd w:val="clear" w:color="auto" w:fill="FFFFFF"/>
        </w:rPr>
      </w:pPr>
      <w:r w:rsidRPr="00291375">
        <w:rPr>
          <w:rFonts w:ascii="Times New Roman" w:hAnsi="Times New Roman" w:cs="Times New Roman"/>
          <w:b/>
          <w:bCs/>
          <w:color w:val="FF0000"/>
          <w:sz w:val="18"/>
          <w:szCs w:val="18"/>
          <w:shd w:val="clear" w:color="auto" w:fill="FFFFFF"/>
        </w:rPr>
        <w:t>Overview of the analysis modules for single-cell RNA sequencing data analysis.</w:t>
      </w:r>
    </w:p>
    <w:p w14:paraId="4E3ABBB3" w14:textId="3532BEC5" w:rsidR="00291375" w:rsidRPr="00291375" w:rsidRDefault="00291375" w:rsidP="00291375">
      <w:pPr>
        <w:jc w:val="center"/>
        <w:rPr>
          <w:rFonts w:ascii="Times New Roman" w:hAnsi="Times New Roman" w:cs="Times New Roman"/>
          <w:b/>
          <w:bCs/>
          <w:color w:val="FF0000"/>
          <w:sz w:val="15"/>
          <w:szCs w:val="15"/>
        </w:rPr>
      </w:pPr>
      <w:r>
        <w:rPr>
          <w:rFonts w:ascii="Times New Roman" w:hAnsi="Times New Roman" w:cs="Times New Roman"/>
          <w:b/>
          <w:bCs/>
          <w:noProof/>
          <w:color w:val="FF0000"/>
          <w:sz w:val="15"/>
          <w:szCs w:val="15"/>
        </w:rPr>
        <w:drawing>
          <wp:inline distT="0" distB="0" distL="0" distR="0" wp14:anchorId="76CD6E65" wp14:editId="7E35E4E1">
            <wp:extent cx="5274310" cy="1645285"/>
            <wp:effectExtent l="0" t="0" r="0" b="5715"/>
            <wp:docPr id="10188912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91230" name="图片 1018891230"/>
                    <pic:cNvPicPr/>
                  </pic:nvPicPr>
                  <pic:blipFill>
                    <a:blip r:embed="rId14">
                      <a:extLst>
                        <a:ext uri="{28A0092B-C50C-407E-A947-70E740481C1C}">
                          <a14:useLocalDpi xmlns:a14="http://schemas.microsoft.com/office/drawing/2010/main" val="0"/>
                        </a:ext>
                      </a:extLst>
                    </a:blip>
                    <a:stretch>
                      <a:fillRect/>
                    </a:stretch>
                  </pic:blipFill>
                  <pic:spPr>
                    <a:xfrm>
                      <a:off x="0" y="0"/>
                      <a:ext cx="5274310" cy="1645285"/>
                    </a:xfrm>
                    <a:prstGeom prst="rect">
                      <a:avLst/>
                    </a:prstGeom>
                  </pic:spPr>
                </pic:pic>
              </a:graphicData>
            </a:graphic>
          </wp:inline>
        </w:drawing>
      </w:r>
    </w:p>
    <w:p w14:paraId="690881EF" w14:textId="1DBC712C" w:rsidR="00291375" w:rsidRPr="00291375" w:rsidRDefault="00291375" w:rsidP="00291375">
      <w:pPr>
        <w:pStyle w:val="a9"/>
        <w:widowControl/>
        <w:numPr>
          <w:ilvl w:val="0"/>
          <w:numId w:val="6"/>
        </w:numPr>
        <w:spacing w:after="0" w:line="240" w:lineRule="auto"/>
        <w:rPr>
          <w:rFonts w:ascii="Arial" w:hAnsi="Arial" w:cs="Arial"/>
          <w:color w:val="222222"/>
          <w:sz w:val="10"/>
          <w:szCs w:val="10"/>
          <w:u w:val="single"/>
          <w:shd w:val="clear" w:color="auto" w:fill="FFFFFF"/>
        </w:rPr>
      </w:pPr>
      <w:r w:rsidRPr="00291375">
        <w:rPr>
          <w:rFonts w:ascii="Arial" w:hAnsi="Arial" w:cs="Arial"/>
          <w:color w:val="222222"/>
          <w:sz w:val="10"/>
          <w:szCs w:val="10"/>
          <w:u w:val="single"/>
          <w:shd w:val="clear" w:color="auto" w:fill="FFFFFF"/>
        </w:rPr>
        <w:t>Jovic D, Liang X, Zeng H, et al. Single</w:t>
      </w:r>
      <w:r w:rsidRPr="00291375">
        <w:rPr>
          <w:rFonts w:ascii="Cambria Math" w:hAnsi="Cambria Math" w:cs="Cambria Math"/>
          <w:color w:val="222222"/>
          <w:sz w:val="10"/>
          <w:szCs w:val="10"/>
          <w:u w:val="single"/>
          <w:shd w:val="clear" w:color="auto" w:fill="FFFFFF"/>
        </w:rPr>
        <w:t>‐</w:t>
      </w:r>
      <w:r w:rsidRPr="00291375">
        <w:rPr>
          <w:rFonts w:ascii="Arial" w:hAnsi="Arial" w:cs="Arial"/>
          <w:color w:val="222222"/>
          <w:sz w:val="10"/>
          <w:szCs w:val="10"/>
          <w:u w:val="single"/>
          <w:shd w:val="clear" w:color="auto" w:fill="FFFFFF"/>
        </w:rPr>
        <w:t>cell RNA sequencing technologies and applications: A brief overview[J]. Clinical and translational medicine, 2022, 12(3): e694.</w:t>
      </w:r>
    </w:p>
    <w:p w14:paraId="7BBB9C57" w14:textId="77777777" w:rsidR="00291375" w:rsidRPr="00291375" w:rsidRDefault="00291375" w:rsidP="00291375">
      <w:pPr>
        <w:rPr>
          <w:rFonts w:ascii="Helvetica" w:hAnsi="Helvetica"/>
          <w:color w:val="FF0000"/>
          <w:sz w:val="15"/>
          <w:szCs w:val="15"/>
        </w:rPr>
      </w:pPr>
    </w:p>
    <w:p w14:paraId="79BB011A" w14:textId="7364DB65" w:rsidR="00CE6EBA" w:rsidRPr="00A21675" w:rsidRDefault="00CE6EBA" w:rsidP="00291375">
      <w:pPr>
        <w:ind w:firstLine="420"/>
        <w:rPr>
          <w:rFonts w:ascii="Helvetica" w:hAnsi="Helvetica"/>
          <w:color w:val="000000" w:themeColor="text1"/>
          <w:sz w:val="15"/>
          <w:szCs w:val="15"/>
        </w:rPr>
      </w:pPr>
      <w:r w:rsidRPr="00CE6EBA">
        <w:rPr>
          <w:rFonts w:ascii="Helvetica" w:hAnsi="Helvetica"/>
          <w:color w:val="000000" w:themeColor="text1"/>
          <w:sz w:val="15"/>
          <w:szCs w:val="15"/>
        </w:rPr>
        <w:t>A recent systematic</w:t>
      </w:r>
      <w:r w:rsidRPr="00A21675">
        <w:rPr>
          <w:rFonts w:ascii="Helvetica" w:hAnsi="Helvetica" w:hint="eastAsia"/>
          <w:color w:val="000000" w:themeColor="text1"/>
          <w:sz w:val="15"/>
          <w:szCs w:val="15"/>
        </w:rPr>
        <w:t xml:space="preserve"> </w:t>
      </w:r>
      <w:r w:rsidRPr="00CE6EBA">
        <w:rPr>
          <w:rFonts w:ascii="Helvetica" w:hAnsi="Helvetica"/>
          <w:color w:val="000000" w:themeColor="text1"/>
          <w:sz w:val="15"/>
          <w:szCs w:val="15"/>
        </w:rPr>
        <w:t>survey of scRNA-seq data suggested that a mitochondrial</w:t>
      </w:r>
      <w:r w:rsidRPr="00A21675">
        <w:rPr>
          <w:rFonts w:ascii="Helvetica" w:hAnsi="Helvetica" w:hint="eastAsia"/>
          <w:color w:val="000000" w:themeColor="text1"/>
          <w:sz w:val="15"/>
          <w:szCs w:val="15"/>
        </w:rPr>
        <w:t xml:space="preserve"> </w:t>
      </w:r>
      <w:r w:rsidRPr="00CE6EBA">
        <w:rPr>
          <w:rFonts w:ascii="Helvetica" w:hAnsi="Helvetica"/>
          <w:color w:val="000000" w:themeColor="text1"/>
          <w:sz w:val="15"/>
          <w:szCs w:val="15"/>
        </w:rPr>
        <w:t xml:space="preserve">proportion threshold of 10% is appropriate to </w:t>
      </w:r>
      <w:r w:rsidRPr="00A21675">
        <w:rPr>
          <w:rFonts w:ascii="Helvetica" w:hAnsi="Helvetica"/>
          <w:color w:val="000000" w:themeColor="text1"/>
          <w:sz w:val="15"/>
          <w:szCs w:val="15"/>
        </w:rPr>
        <w:t>distinguish between</w:t>
      </w:r>
      <w:r w:rsidRPr="00CE6EBA">
        <w:rPr>
          <w:rFonts w:ascii="Helvetica" w:hAnsi="Helvetica"/>
          <w:color w:val="000000" w:themeColor="text1"/>
          <w:sz w:val="15"/>
          <w:szCs w:val="15"/>
        </w:rPr>
        <w:t xml:space="preserve"> healthy and low-quality cells in most human tissues, while in mouse tissues, the recommended threshold is 5%</w:t>
      </w:r>
      <w:r w:rsidRPr="00A21675">
        <w:rPr>
          <w:rFonts w:ascii="Helvetica" w:hAnsi="Helvetica"/>
          <w:color w:val="000000" w:themeColor="text1"/>
          <w:sz w:val="15"/>
          <w:szCs w:val="15"/>
        </w:rPr>
        <w:t>.</w:t>
      </w:r>
    </w:p>
    <w:p w14:paraId="173D3B8E" w14:textId="56295057" w:rsidR="003E67F9" w:rsidRPr="00A21675" w:rsidRDefault="003E67F9" w:rsidP="00CE6EBA">
      <w:pPr>
        <w:pStyle w:val="a9"/>
        <w:widowControl/>
        <w:numPr>
          <w:ilvl w:val="0"/>
          <w:numId w:val="6"/>
        </w:numPr>
        <w:rPr>
          <w:rFonts w:ascii="Times New Roman" w:eastAsia="楷体" w:hAnsi="Times New Roman" w:cs="宋体"/>
          <w:color w:val="FF0000"/>
          <w:kern w:val="0"/>
          <w:sz w:val="18"/>
          <w:szCs w:val="18"/>
          <w14:ligatures w14:val="none"/>
        </w:rPr>
      </w:pPr>
      <w:r w:rsidRPr="00A21675">
        <w:rPr>
          <w:rFonts w:ascii="Arial" w:hAnsi="Arial" w:cs="Arial"/>
          <w:color w:val="FF0000"/>
          <w:sz w:val="13"/>
          <w:szCs w:val="13"/>
          <w:shd w:val="clear" w:color="auto" w:fill="FFFFFF"/>
        </w:rPr>
        <w:t xml:space="preserve">Osorio D, Cai J </w:t>
      </w:r>
      <w:proofErr w:type="spellStart"/>
      <w:r w:rsidRPr="00A21675">
        <w:rPr>
          <w:rFonts w:ascii="Arial" w:hAnsi="Arial" w:cs="Arial"/>
          <w:color w:val="FF0000"/>
          <w:sz w:val="13"/>
          <w:szCs w:val="13"/>
          <w:shd w:val="clear" w:color="auto" w:fill="FFFFFF"/>
        </w:rPr>
        <w:t>J</w:t>
      </w:r>
      <w:proofErr w:type="spellEnd"/>
      <w:r w:rsidRPr="00A21675">
        <w:rPr>
          <w:rFonts w:ascii="Arial" w:hAnsi="Arial" w:cs="Arial"/>
          <w:color w:val="FF0000"/>
          <w:sz w:val="13"/>
          <w:szCs w:val="13"/>
          <w:shd w:val="clear" w:color="auto" w:fill="FFFFFF"/>
        </w:rPr>
        <w:t>. Systematic determination of the mitochondrial proportion in human and mice tissues for single-cell RNA-sequencing data quality control[J]. Bioinformatics, 2021, 37(7): 963-967.</w:t>
      </w:r>
    </w:p>
    <w:p w14:paraId="6AFAE6E8" w14:textId="1C97B2C5" w:rsidR="003E67F9" w:rsidRPr="00A21675" w:rsidRDefault="004F6C59" w:rsidP="004F6C59">
      <w:pPr>
        <w:ind w:firstLine="420"/>
        <w:rPr>
          <w:rFonts w:ascii="Times New Roman" w:eastAsia="楷体" w:hAnsi="Times New Roman" w:cs="Times New Roman"/>
          <w:color w:val="000000" w:themeColor="text1"/>
        </w:rPr>
      </w:pPr>
      <w:r w:rsidRPr="00A21675">
        <w:rPr>
          <w:rFonts w:ascii="Times New Roman" w:hAnsi="Times New Roman" w:cs="Times New Roman"/>
          <w:color w:val="000000" w:themeColor="text1"/>
          <w:shd w:val="clear" w:color="auto" w:fill="FFFFFF"/>
        </w:rPr>
        <w:lastRenderedPageBreak/>
        <w:t>There is no absolute standard for the setting of filter thresholds, which usually depends on the type of cell and tissue being analysed. Lambrechts et al. filtered out cells with ≤ 100 or ≥ 6000 expressed genes, ≤ 200 UMIs and ≥ 10% mitochondrial genes as described in their study. Fan et al. retained good quality cells using the following parameters: (1) 200 &lt; total number of expressed genes per cell (nGenes) &lt; 2500; (2) 300 &lt; total number of UMIs per cell (nUMIs) &lt; 15000; and (3) percentage of UMIs mapped to mitochondrial genes (MT%) &lt; 10%.</w:t>
      </w:r>
    </w:p>
    <w:p w14:paraId="6F9781AB" w14:textId="1DB5714A" w:rsidR="00CE6EBA" w:rsidRPr="004F6C59" w:rsidRDefault="004F6C59" w:rsidP="004F6C59">
      <w:pPr>
        <w:pStyle w:val="a9"/>
        <w:widowControl/>
        <w:numPr>
          <w:ilvl w:val="0"/>
          <w:numId w:val="6"/>
        </w:numPr>
        <w:rPr>
          <w:rFonts w:ascii="Arial" w:hAnsi="Arial" w:cs="Arial"/>
          <w:color w:val="222222"/>
          <w:sz w:val="13"/>
          <w:szCs w:val="13"/>
          <w:shd w:val="clear" w:color="auto" w:fill="FFFFFF"/>
        </w:rPr>
      </w:pPr>
      <w:r w:rsidRPr="004F6C59">
        <w:rPr>
          <w:rFonts w:ascii="Arial" w:hAnsi="Arial" w:cs="Arial"/>
          <w:color w:val="222222"/>
          <w:sz w:val="13"/>
          <w:szCs w:val="13"/>
          <w:shd w:val="clear" w:color="auto" w:fill="FFFFFF"/>
        </w:rPr>
        <w:t>Lambrechts D, Wauters E, Boeckx B, et al. Phenotype molding of stromal cells in the lung tumor microenvironment[J]. Nature medicine, 2018, 24(8): 1277-1289.</w:t>
      </w:r>
    </w:p>
    <w:p w14:paraId="3D794967" w14:textId="7EF7EC55" w:rsidR="004F6C59" w:rsidRPr="004F6C59" w:rsidRDefault="004F6C59" w:rsidP="004F6C59">
      <w:pPr>
        <w:pStyle w:val="a9"/>
        <w:widowControl/>
        <w:numPr>
          <w:ilvl w:val="0"/>
          <w:numId w:val="6"/>
        </w:numPr>
        <w:rPr>
          <w:rFonts w:ascii="Arial" w:hAnsi="Arial" w:cs="Arial"/>
          <w:color w:val="222222"/>
          <w:sz w:val="13"/>
          <w:szCs w:val="13"/>
          <w:shd w:val="clear" w:color="auto" w:fill="FFFFFF"/>
        </w:rPr>
      </w:pPr>
      <w:r w:rsidRPr="004F6C59">
        <w:rPr>
          <w:rFonts w:ascii="Arial" w:hAnsi="Arial" w:cs="Arial"/>
          <w:color w:val="222222"/>
          <w:sz w:val="13"/>
          <w:szCs w:val="13"/>
          <w:shd w:val="clear" w:color="auto" w:fill="FFFFFF"/>
        </w:rPr>
        <w:t>Fan X, Bialecka M, Moustakas I, et al. Single-cell reconstruction of follicular remodeling in the human adult ovary[J]. Nature communications, 2019, 10(1): 3164.</w:t>
      </w:r>
    </w:p>
    <w:p w14:paraId="3806FDA4" w14:textId="77777777" w:rsidR="004F6C59" w:rsidRDefault="004F6C59" w:rsidP="004F6C59">
      <w:pPr>
        <w:rPr>
          <w:rFonts w:ascii="Arial" w:hAnsi="Arial" w:cs="Arial"/>
          <w:color w:val="222222"/>
          <w:sz w:val="13"/>
          <w:szCs w:val="13"/>
          <w:shd w:val="clear" w:color="auto" w:fill="FFFFFF"/>
        </w:rPr>
      </w:pPr>
    </w:p>
    <w:p w14:paraId="38709229" w14:textId="77777777" w:rsidR="0047338F" w:rsidRDefault="0047338F" w:rsidP="004F6C59">
      <w:pPr>
        <w:rPr>
          <w:rFonts w:ascii="Arial" w:hAnsi="Arial" w:cs="Arial"/>
          <w:color w:val="222222"/>
          <w:sz w:val="13"/>
          <w:szCs w:val="13"/>
          <w:shd w:val="clear" w:color="auto" w:fill="FFFFFF"/>
        </w:rPr>
      </w:pPr>
    </w:p>
    <w:p w14:paraId="1B96F57E" w14:textId="77777777" w:rsidR="0047338F" w:rsidRDefault="0047338F" w:rsidP="004F6C59">
      <w:pPr>
        <w:rPr>
          <w:rFonts w:ascii="Arial" w:hAnsi="Arial" w:cs="Arial"/>
          <w:color w:val="222222"/>
          <w:sz w:val="13"/>
          <w:szCs w:val="13"/>
          <w:shd w:val="clear" w:color="auto" w:fill="FFFFFF"/>
        </w:rPr>
      </w:pPr>
    </w:p>
    <w:p w14:paraId="0C62AEF2" w14:textId="0E886C1D" w:rsidR="0047338F" w:rsidRDefault="0047338F" w:rsidP="004F6C59">
      <w:pPr>
        <w:rPr>
          <w:rFonts w:ascii="Times New Roman" w:hAnsi="Times New Roman" w:cs="Times New Roman"/>
          <w:color w:val="222222"/>
          <w:sz w:val="27"/>
          <w:szCs w:val="27"/>
          <w:shd w:val="clear" w:color="auto" w:fill="FFFFFF"/>
        </w:rPr>
      </w:pPr>
      <w:r w:rsidRPr="0047338F">
        <w:rPr>
          <w:rFonts w:ascii="Times New Roman" w:hAnsi="Times New Roman" w:cs="Times New Roman"/>
          <w:color w:val="222222"/>
          <w:sz w:val="27"/>
          <w:szCs w:val="27"/>
          <w:shd w:val="clear" w:color="auto" w:fill="FFFFFF"/>
        </w:rPr>
        <w:t>QC metrics vary by tissue. (</w:t>
      </w:r>
      <w:r w:rsidRPr="0047338F">
        <w:rPr>
          <w:rFonts w:ascii="Times New Roman" w:hAnsi="Times New Roman" w:cs="Times New Roman"/>
          <w:i/>
          <w:iCs/>
          <w:color w:val="222222"/>
          <w:sz w:val="27"/>
          <w:szCs w:val="27"/>
        </w:rPr>
        <w:t>X</w:t>
      </w:r>
      <w:r w:rsidRPr="0047338F">
        <w:rPr>
          <w:rFonts w:ascii="Times New Roman" w:hAnsi="Times New Roman" w:cs="Times New Roman"/>
          <w:color w:val="222222"/>
          <w:sz w:val="27"/>
          <w:szCs w:val="27"/>
          <w:shd w:val="clear" w:color="auto" w:fill="FFFFFF"/>
        </w:rPr>
        <w:t>-axis) Fraction of mitochondrial reads (</w:t>
      </w:r>
      <w:r w:rsidRPr="0047338F">
        <w:rPr>
          <w:rFonts w:ascii="Times New Roman" w:hAnsi="Times New Roman" w:cs="Times New Roman"/>
          <w:b/>
          <w:bCs/>
          <w:color w:val="222222"/>
          <w:sz w:val="27"/>
          <w:szCs w:val="27"/>
        </w:rPr>
        <w:t>A, B</w:t>
      </w:r>
      <w:r w:rsidRPr="0047338F">
        <w:rPr>
          <w:rFonts w:ascii="Times New Roman" w:hAnsi="Times New Roman" w:cs="Times New Roman"/>
          <w:color w:val="222222"/>
          <w:sz w:val="27"/>
          <w:szCs w:val="27"/>
          <w:shd w:val="clear" w:color="auto" w:fill="FFFFFF"/>
        </w:rPr>
        <w:t>), gene complexity (</w:t>
      </w:r>
      <w:r w:rsidRPr="0047338F">
        <w:rPr>
          <w:rFonts w:ascii="Times New Roman" w:hAnsi="Times New Roman" w:cs="Times New Roman"/>
          <w:b/>
          <w:bCs/>
          <w:color w:val="222222"/>
          <w:sz w:val="27"/>
          <w:szCs w:val="27"/>
        </w:rPr>
        <w:t>C, D</w:t>
      </w:r>
      <w:r w:rsidRPr="0047338F">
        <w:rPr>
          <w:rFonts w:ascii="Times New Roman" w:hAnsi="Times New Roman" w:cs="Times New Roman"/>
          <w:color w:val="222222"/>
          <w:sz w:val="27"/>
          <w:szCs w:val="27"/>
          <w:shd w:val="clear" w:color="auto" w:fill="FFFFFF"/>
        </w:rPr>
        <w:t>), and percentage of ribosomal protein genes (</w:t>
      </w:r>
      <w:r w:rsidRPr="0047338F">
        <w:rPr>
          <w:rFonts w:ascii="Times New Roman" w:hAnsi="Times New Roman" w:cs="Times New Roman"/>
          <w:b/>
          <w:bCs/>
          <w:color w:val="222222"/>
          <w:sz w:val="27"/>
          <w:szCs w:val="27"/>
        </w:rPr>
        <w:t>E, F</w:t>
      </w:r>
      <w:r w:rsidRPr="0047338F">
        <w:rPr>
          <w:rFonts w:ascii="Times New Roman" w:hAnsi="Times New Roman" w:cs="Times New Roman"/>
          <w:color w:val="222222"/>
          <w:sz w:val="27"/>
          <w:szCs w:val="27"/>
          <w:shd w:val="clear" w:color="auto" w:fill="FFFFFF"/>
        </w:rPr>
        <w:t>) per cell across human tissues (</w:t>
      </w:r>
      <w:r w:rsidRPr="0047338F">
        <w:rPr>
          <w:rFonts w:ascii="Times New Roman" w:hAnsi="Times New Roman" w:cs="Times New Roman"/>
          <w:i/>
          <w:iCs/>
          <w:color w:val="222222"/>
          <w:sz w:val="27"/>
          <w:szCs w:val="27"/>
        </w:rPr>
        <w:t>Y</w:t>
      </w:r>
      <w:r w:rsidRPr="0047338F">
        <w:rPr>
          <w:rFonts w:ascii="Times New Roman" w:hAnsi="Times New Roman" w:cs="Times New Roman"/>
          <w:color w:val="222222"/>
          <w:sz w:val="27"/>
          <w:szCs w:val="27"/>
          <w:shd w:val="clear" w:color="auto" w:fill="FFFFFF"/>
        </w:rPr>
        <w:t>-axis) and technologies. Various human tissue scRNA-seq datasets generated by 10X droplet-based (</w:t>
      </w:r>
      <w:r w:rsidRPr="0047338F">
        <w:rPr>
          <w:rFonts w:ascii="Times New Roman" w:hAnsi="Times New Roman" w:cs="Times New Roman"/>
          <w:b/>
          <w:bCs/>
          <w:color w:val="222222"/>
          <w:sz w:val="27"/>
          <w:szCs w:val="27"/>
        </w:rPr>
        <w:t>A, C, E</w:t>
      </w:r>
      <w:r w:rsidRPr="0047338F">
        <w:rPr>
          <w:rFonts w:ascii="Times New Roman" w:hAnsi="Times New Roman" w:cs="Times New Roman"/>
          <w:color w:val="222222"/>
          <w:sz w:val="27"/>
          <w:szCs w:val="27"/>
          <w:shd w:val="clear" w:color="auto" w:fill="FFFFFF"/>
        </w:rPr>
        <w:t>) and Microwell-seq (</w:t>
      </w:r>
      <w:r w:rsidRPr="0047338F">
        <w:rPr>
          <w:rFonts w:ascii="Times New Roman" w:hAnsi="Times New Roman" w:cs="Times New Roman"/>
          <w:b/>
          <w:bCs/>
          <w:color w:val="222222"/>
          <w:sz w:val="27"/>
          <w:szCs w:val="27"/>
        </w:rPr>
        <w:t>B, D, F</w:t>
      </w:r>
      <w:r w:rsidRPr="0047338F">
        <w:rPr>
          <w:rFonts w:ascii="Times New Roman" w:hAnsi="Times New Roman" w:cs="Times New Roman"/>
          <w:color w:val="222222"/>
          <w:sz w:val="27"/>
          <w:szCs w:val="27"/>
          <w:shd w:val="clear" w:color="auto" w:fill="FFFFFF"/>
        </w:rPr>
        <w:t>) technologies. Each row in a panel is a density curve with the mean represented by a blue diamond. Red lines indicate conventional threshold values set at 10% for percentage of mitochondrial reads, and 200 for gene complexity</w:t>
      </w:r>
      <w:r>
        <w:rPr>
          <w:rFonts w:ascii="Times New Roman" w:hAnsi="Times New Roman" w:cs="Times New Roman"/>
          <w:color w:val="222222"/>
          <w:sz w:val="27"/>
          <w:szCs w:val="27"/>
          <w:shd w:val="clear" w:color="auto" w:fill="FFFFFF"/>
        </w:rPr>
        <w:t>.</w:t>
      </w:r>
    </w:p>
    <w:p w14:paraId="2C63D253" w14:textId="6C6082F0" w:rsidR="0047338F" w:rsidRDefault="0047338F" w:rsidP="004F6C59">
      <w:pPr>
        <w:rPr>
          <w:rFonts w:ascii="Times New Roman" w:hAnsi="Times New Roman" w:cs="Times New Roman"/>
          <w:color w:val="222222"/>
          <w:sz w:val="13"/>
          <w:szCs w:val="13"/>
          <w:shd w:val="clear" w:color="auto" w:fill="FFFFFF"/>
        </w:rPr>
      </w:pPr>
      <w:r>
        <w:rPr>
          <w:rFonts w:ascii="Times New Roman" w:hAnsi="Times New Roman" w:cs="Times New Roman"/>
          <w:noProof/>
          <w:color w:val="222222"/>
          <w:sz w:val="13"/>
          <w:szCs w:val="13"/>
          <w:shd w:val="clear" w:color="auto" w:fill="FFFFFF"/>
        </w:rPr>
        <w:lastRenderedPageBreak/>
        <w:drawing>
          <wp:inline distT="0" distB="0" distL="0" distR="0" wp14:anchorId="4D8C2148" wp14:editId="42537018">
            <wp:extent cx="5274310" cy="7437120"/>
            <wp:effectExtent l="0" t="0" r="0" b="5080"/>
            <wp:docPr id="1526375490" name="图片 3"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75490" name="图片 3" descr="图示, 示意图&#10;&#10;AI 生成的内容可能不正确。"/>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7437120"/>
                    </a:xfrm>
                    <a:prstGeom prst="rect">
                      <a:avLst/>
                    </a:prstGeom>
                  </pic:spPr>
                </pic:pic>
              </a:graphicData>
            </a:graphic>
          </wp:inline>
        </w:drawing>
      </w:r>
    </w:p>
    <w:p w14:paraId="5F780A0C" w14:textId="28EE6435" w:rsidR="0047338F" w:rsidRPr="0047338F" w:rsidRDefault="0047338F" w:rsidP="004F6C59">
      <w:pPr>
        <w:rPr>
          <w:rFonts w:ascii="Times New Roman" w:hAnsi="Times New Roman" w:cs="Times New Roman"/>
          <w:color w:val="222222"/>
          <w:sz w:val="13"/>
          <w:szCs w:val="13"/>
          <w:shd w:val="clear" w:color="auto" w:fill="FFFFFF"/>
        </w:rPr>
      </w:pPr>
      <w:r>
        <w:rPr>
          <w:rFonts w:ascii="Times New Roman" w:hAnsi="Times New Roman" w:cs="Times New Roman" w:hint="eastAsia"/>
          <w:noProof/>
          <w:color w:val="222222"/>
          <w:sz w:val="13"/>
          <w:szCs w:val="13"/>
          <w:shd w:val="clear" w:color="auto" w:fill="FFFFFF"/>
        </w:rPr>
        <w:lastRenderedPageBreak/>
        <w:drawing>
          <wp:inline distT="0" distB="0" distL="0" distR="0" wp14:anchorId="5C8707F0" wp14:editId="707832FD">
            <wp:extent cx="5274310" cy="6821805"/>
            <wp:effectExtent l="0" t="0" r="0" b="0"/>
            <wp:docPr id="1993755569" name="图片 4"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55569" name="图片 4" descr="图示, 示意图&#10;&#10;AI 生成的内容可能不正确。"/>
                    <pic:cNvPicPr/>
                  </pic:nvPicPr>
                  <pic:blipFill>
                    <a:blip r:embed="rId16">
                      <a:extLst>
                        <a:ext uri="{28A0092B-C50C-407E-A947-70E740481C1C}">
                          <a14:useLocalDpi xmlns:a14="http://schemas.microsoft.com/office/drawing/2010/main" val="0"/>
                        </a:ext>
                      </a:extLst>
                    </a:blip>
                    <a:stretch>
                      <a:fillRect/>
                    </a:stretch>
                  </pic:blipFill>
                  <pic:spPr>
                    <a:xfrm>
                      <a:off x="0" y="0"/>
                      <a:ext cx="5274310" cy="6821805"/>
                    </a:xfrm>
                    <a:prstGeom prst="rect">
                      <a:avLst/>
                    </a:prstGeom>
                  </pic:spPr>
                </pic:pic>
              </a:graphicData>
            </a:graphic>
          </wp:inline>
        </w:drawing>
      </w:r>
    </w:p>
    <w:p w14:paraId="247ABE48" w14:textId="7BD3845A" w:rsidR="0047338F" w:rsidRDefault="0047338F" w:rsidP="0047338F">
      <w:pPr>
        <w:pStyle w:val="a9"/>
        <w:widowControl/>
        <w:numPr>
          <w:ilvl w:val="0"/>
          <w:numId w:val="6"/>
        </w:numPr>
        <w:rPr>
          <w:rFonts w:ascii="Arial" w:hAnsi="Arial" w:cs="Arial"/>
          <w:color w:val="222222"/>
          <w:sz w:val="13"/>
          <w:szCs w:val="13"/>
          <w:shd w:val="clear" w:color="auto" w:fill="FFFFFF"/>
        </w:rPr>
      </w:pPr>
      <w:r w:rsidRPr="0047338F">
        <w:rPr>
          <w:rFonts w:ascii="Arial" w:hAnsi="Arial" w:cs="Arial"/>
          <w:color w:val="222222"/>
          <w:sz w:val="13"/>
          <w:szCs w:val="13"/>
          <w:shd w:val="clear" w:color="auto" w:fill="FFFFFF"/>
        </w:rPr>
        <w:t>Subramanian A, Alperovich M, Yang Y, et al. Biology-inspired data-driven quality control for scientific discovery in single-cell transcriptomics[J]. Genome biology, 2022, 23(1): 267.</w:t>
      </w:r>
    </w:p>
    <w:p w14:paraId="41B40298" w14:textId="0A8CBFC5" w:rsidR="000E7FC2" w:rsidRDefault="000E7FC2">
      <w:pPr>
        <w:rPr>
          <w:rFonts w:ascii="Arial" w:hAnsi="Arial" w:cs="Arial"/>
          <w:color w:val="222222"/>
          <w:sz w:val="13"/>
          <w:szCs w:val="13"/>
          <w:shd w:val="clear" w:color="auto" w:fill="FFFFFF"/>
        </w:rPr>
      </w:pPr>
      <w:r>
        <w:rPr>
          <w:rFonts w:ascii="Arial" w:hAnsi="Arial" w:cs="Arial"/>
          <w:color w:val="222222"/>
          <w:sz w:val="13"/>
          <w:szCs w:val="13"/>
          <w:shd w:val="clear" w:color="auto" w:fill="FFFFFF"/>
        </w:rPr>
        <w:br w:type="page"/>
      </w:r>
    </w:p>
    <w:p w14:paraId="73988E86" w14:textId="1FEBBF34" w:rsidR="000E7FC2" w:rsidRPr="00366325" w:rsidRDefault="000E7FC2" w:rsidP="00366325">
      <w:pPr>
        <w:pStyle w:val="2"/>
        <w:rPr>
          <w:shd w:val="clear" w:color="auto" w:fill="FFFFFF"/>
        </w:rPr>
      </w:pPr>
      <w:r>
        <w:rPr>
          <w:rFonts w:hint="eastAsia"/>
          <w:shd w:val="clear" w:color="auto" w:fill="FFFFFF"/>
        </w:rPr>
        <w:lastRenderedPageBreak/>
        <w:t>单细胞数据分析</w:t>
      </w:r>
      <w:r>
        <w:rPr>
          <w:shd w:val="clear" w:color="auto" w:fill="FFFFFF"/>
        </w:rPr>
        <w:t>:</w:t>
      </w:r>
      <w:r>
        <w:rPr>
          <w:rFonts w:hint="eastAsia"/>
          <w:shd w:val="clear" w:color="auto" w:fill="FFFFFF"/>
        </w:rPr>
        <w:t>PCA</w:t>
      </w:r>
    </w:p>
    <w:p w14:paraId="414B0104" w14:textId="77777777" w:rsidR="00366325" w:rsidRPr="00B13E73" w:rsidRDefault="00366325" w:rsidP="00B13E73">
      <w:pPr>
        <w:pStyle w:val="af1"/>
        <w:spacing w:line="360" w:lineRule="auto"/>
        <w:ind w:firstLine="420"/>
        <w:rPr>
          <w:rFonts w:ascii="Times New Roman" w:eastAsia="楷体" w:hAnsi="Times New Roman"/>
          <w:color w:val="000000"/>
        </w:rPr>
      </w:pPr>
      <w:r w:rsidRPr="00B13E73">
        <w:rPr>
          <w:rFonts w:ascii="Times New Roman" w:eastAsia="楷体" w:hAnsi="Times New Roman"/>
          <w:color w:val="000000"/>
        </w:rPr>
        <w:t>在单细胞转录组分析（</w:t>
      </w:r>
      <w:r w:rsidRPr="00B13E73">
        <w:rPr>
          <w:rFonts w:ascii="Times New Roman" w:eastAsia="楷体" w:hAnsi="Times New Roman"/>
          <w:color w:val="000000"/>
        </w:rPr>
        <w:t>scRNA-seq</w:t>
      </w:r>
      <w:r w:rsidRPr="00B13E73">
        <w:rPr>
          <w:rFonts w:ascii="Times New Roman" w:eastAsia="楷体" w:hAnsi="Times New Roman"/>
          <w:color w:val="000000"/>
        </w:rPr>
        <w:t>）中，</w:t>
      </w:r>
      <w:r w:rsidRPr="00B13E73">
        <w:rPr>
          <w:rFonts w:ascii="Times New Roman" w:eastAsia="楷体" w:hAnsi="Times New Roman"/>
          <w:color w:val="000000"/>
        </w:rPr>
        <w:t>PCA</w:t>
      </w:r>
      <w:r w:rsidRPr="00B13E73">
        <w:rPr>
          <w:rFonts w:ascii="Times New Roman" w:eastAsia="楷体" w:hAnsi="Times New Roman"/>
          <w:color w:val="000000"/>
        </w:rPr>
        <w:t>（主成分分析）的输入基因通常是通过以下步骤筛选的，以确保降维结果能够有效地捕捉生物学信号，而不是技术噪音：</w:t>
      </w:r>
    </w:p>
    <w:p w14:paraId="7572BBE9" w14:textId="77777777" w:rsidR="00366325" w:rsidRPr="00B13E73" w:rsidRDefault="00366325" w:rsidP="00B13E73">
      <w:pPr>
        <w:pStyle w:val="3"/>
        <w:spacing w:line="360" w:lineRule="auto"/>
        <w:rPr>
          <w:rFonts w:ascii="Times New Roman" w:eastAsia="楷体" w:hAnsi="Times New Roman"/>
          <w:color w:val="000000"/>
        </w:rPr>
      </w:pPr>
      <w:r w:rsidRPr="00B13E73">
        <w:rPr>
          <w:rStyle w:val="ae"/>
          <w:rFonts w:ascii="Times New Roman" w:eastAsia="楷体" w:hAnsi="Times New Roman"/>
          <w:b w:val="0"/>
          <w:bCs w:val="0"/>
          <w:color w:val="000000"/>
        </w:rPr>
        <w:t xml:space="preserve">1. </w:t>
      </w:r>
      <w:r w:rsidRPr="00B13E73">
        <w:rPr>
          <w:rStyle w:val="ae"/>
          <w:rFonts w:ascii="Times New Roman" w:eastAsia="楷体" w:hAnsi="Times New Roman"/>
          <w:b w:val="0"/>
          <w:bCs w:val="0"/>
          <w:color w:val="000000"/>
        </w:rPr>
        <w:t>过滤低表达基因</w:t>
      </w:r>
    </w:p>
    <w:p w14:paraId="4D9FC218" w14:textId="77777777" w:rsidR="00366325" w:rsidRPr="00B13E73" w:rsidRDefault="00366325" w:rsidP="00B13E73">
      <w:pPr>
        <w:pStyle w:val="af1"/>
        <w:spacing w:line="360" w:lineRule="auto"/>
        <w:rPr>
          <w:rFonts w:ascii="Times New Roman" w:eastAsia="楷体" w:hAnsi="Times New Roman"/>
          <w:color w:val="000000"/>
        </w:rPr>
      </w:pPr>
      <w:r w:rsidRPr="00B13E73">
        <w:rPr>
          <w:rFonts w:ascii="Times New Roman" w:eastAsia="楷体" w:hAnsi="Times New Roman"/>
          <w:color w:val="000000"/>
        </w:rPr>
        <w:t>许多基因在大多数细胞中几乎不表达，为了减少噪音，通常会去除低表达基因。例如：</w:t>
      </w:r>
    </w:p>
    <w:p w14:paraId="04E5F481" w14:textId="505325AE" w:rsidR="00366325" w:rsidRPr="00B13E73" w:rsidRDefault="00366325" w:rsidP="00B13E73">
      <w:pPr>
        <w:numPr>
          <w:ilvl w:val="0"/>
          <w:numId w:val="28"/>
        </w:numPr>
        <w:spacing w:before="100" w:beforeAutospacing="1" w:after="100" w:afterAutospacing="1" w:line="360" w:lineRule="auto"/>
        <w:rPr>
          <w:rFonts w:ascii="Times New Roman" w:eastAsia="楷体" w:hAnsi="Times New Roman"/>
          <w:color w:val="000000"/>
        </w:rPr>
      </w:pPr>
      <w:r w:rsidRPr="00B13E73">
        <w:rPr>
          <w:rFonts w:ascii="Times New Roman" w:eastAsia="楷体" w:hAnsi="Times New Roman"/>
          <w:color w:val="000000"/>
        </w:rPr>
        <w:t>过滤掉在少数细胞（如</w:t>
      </w:r>
      <w:r w:rsidRPr="00B13E73">
        <w:rPr>
          <w:rFonts w:ascii="Times New Roman" w:eastAsia="楷体" w:hAnsi="Times New Roman"/>
          <w:color w:val="000000"/>
        </w:rPr>
        <w:t>&lt;1%</w:t>
      </w:r>
      <w:r w:rsidRPr="00B13E73">
        <w:rPr>
          <w:rFonts w:ascii="Times New Roman" w:eastAsia="楷体" w:hAnsi="Times New Roman"/>
          <w:color w:val="000000"/>
        </w:rPr>
        <w:t>或</w:t>
      </w:r>
      <w:r w:rsidRPr="00B13E73">
        <w:rPr>
          <w:rFonts w:ascii="Times New Roman" w:eastAsia="楷体" w:hAnsi="Times New Roman"/>
          <w:color w:val="000000"/>
        </w:rPr>
        <w:t>&lt;3</w:t>
      </w:r>
      <w:r w:rsidRPr="00B13E73">
        <w:rPr>
          <w:rFonts w:ascii="Times New Roman" w:eastAsia="楷体" w:hAnsi="Times New Roman" w:hint="eastAsia"/>
          <w:color w:val="000000"/>
        </w:rPr>
        <w:t>或</w:t>
      </w:r>
      <w:r w:rsidRPr="00B13E73">
        <w:rPr>
          <w:rFonts w:ascii="Times New Roman" w:eastAsia="楷体" w:hAnsi="Times New Roman"/>
          <w:color w:val="000000"/>
        </w:rPr>
        <w:t>5</w:t>
      </w:r>
      <w:r w:rsidRPr="00B13E73">
        <w:rPr>
          <w:rFonts w:ascii="Times New Roman" w:eastAsia="楷体" w:hAnsi="Times New Roman"/>
          <w:color w:val="000000"/>
        </w:rPr>
        <w:t>个细胞）中表达的基因</w:t>
      </w:r>
    </w:p>
    <w:p w14:paraId="22B18446" w14:textId="77777777" w:rsidR="00366325" w:rsidRPr="00B13E73" w:rsidRDefault="00366325" w:rsidP="00B13E73">
      <w:pPr>
        <w:pStyle w:val="a9"/>
        <w:widowControl/>
        <w:numPr>
          <w:ilvl w:val="0"/>
          <w:numId w:val="28"/>
        </w:numPr>
        <w:spacing w:after="0" w:line="360" w:lineRule="auto"/>
        <w:rPr>
          <w:rFonts w:ascii="Times New Roman" w:eastAsia="楷体" w:hAnsi="Times New Roman" w:cs="宋体"/>
          <w:color w:val="000000"/>
          <w:kern w:val="0"/>
          <w:sz w:val="24"/>
          <w14:ligatures w14:val="none"/>
        </w:rPr>
      </w:pPr>
      <w:r w:rsidRPr="00B13E73">
        <w:rPr>
          <w:rFonts w:ascii="Times New Roman" w:eastAsia="楷体" w:hAnsi="Times New Roman" w:cs="宋体"/>
          <w:b/>
          <w:bCs/>
          <w:color w:val="000000"/>
          <w:kern w:val="0"/>
          <w:sz w:val="24"/>
          <w14:ligatures w14:val="none"/>
        </w:rPr>
        <w:t>过滤低质量细胞</w:t>
      </w:r>
      <w:r w:rsidRPr="00B13E73">
        <w:rPr>
          <w:rFonts w:ascii="Times New Roman" w:eastAsia="楷体" w:hAnsi="Times New Roman" w:cs="宋体"/>
          <w:color w:val="000000"/>
          <w:kern w:val="0"/>
          <w:sz w:val="24"/>
          <w14:ligatures w14:val="none"/>
        </w:rPr>
        <w:t>：同时也会移除那些总计数（</w:t>
      </w:r>
      <w:r w:rsidRPr="00B13E73">
        <w:rPr>
          <w:rFonts w:ascii="Times New Roman" w:eastAsia="楷体" w:hAnsi="Times New Roman" w:cs="宋体"/>
          <w:color w:val="000000"/>
          <w:kern w:val="0"/>
          <w:sz w:val="24"/>
          <w14:ligatures w14:val="none"/>
        </w:rPr>
        <w:t>UMI</w:t>
      </w:r>
      <w:r w:rsidRPr="00B13E73">
        <w:rPr>
          <w:rFonts w:ascii="Times New Roman" w:eastAsia="楷体" w:hAnsi="Times New Roman" w:cs="宋体"/>
          <w:color w:val="000000"/>
          <w:kern w:val="0"/>
          <w:sz w:val="24"/>
          <w14:ligatures w14:val="none"/>
        </w:rPr>
        <w:t>或</w:t>
      </w:r>
      <w:r w:rsidRPr="00B13E73">
        <w:rPr>
          <w:rFonts w:ascii="Times New Roman" w:eastAsia="楷体" w:hAnsi="Times New Roman" w:cs="宋体"/>
          <w:color w:val="000000"/>
          <w:kern w:val="0"/>
          <w:sz w:val="24"/>
          <w14:ligatures w14:val="none"/>
        </w:rPr>
        <w:t>reads</w:t>
      </w:r>
      <w:r w:rsidRPr="00B13E73">
        <w:rPr>
          <w:rFonts w:ascii="Times New Roman" w:eastAsia="楷体" w:hAnsi="Times New Roman" w:cs="宋体"/>
          <w:color w:val="000000"/>
          <w:kern w:val="0"/>
          <w:sz w:val="24"/>
          <w14:ligatures w14:val="none"/>
        </w:rPr>
        <w:t>）过低或线粒体基因比例过高的细胞，以确保数据质量。</w:t>
      </w:r>
    </w:p>
    <w:p w14:paraId="60D9B48F" w14:textId="77777777" w:rsidR="00366325" w:rsidRPr="00B13E73" w:rsidRDefault="00366325" w:rsidP="00B13E73">
      <w:pPr>
        <w:pStyle w:val="3"/>
        <w:spacing w:line="360" w:lineRule="auto"/>
        <w:rPr>
          <w:rFonts w:ascii="Times New Roman" w:eastAsia="楷体" w:hAnsi="Times New Roman"/>
          <w:color w:val="000000"/>
        </w:rPr>
      </w:pPr>
      <w:r w:rsidRPr="00B13E73">
        <w:rPr>
          <w:rStyle w:val="ae"/>
          <w:rFonts w:ascii="Times New Roman" w:eastAsia="楷体" w:hAnsi="Times New Roman"/>
          <w:b w:val="0"/>
          <w:bCs w:val="0"/>
          <w:color w:val="000000"/>
        </w:rPr>
        <w:t xml:space="preserve">2. </w:t>
      </w:r>
      <w:r w:rsidRPr="00B13E73">
        <w:rPr>
          <w:rStyle w:val="ae"/>
          <w:rFonts w:ascii="Times New Roman" w:eastAsia="楷体" w:hAnsi="Times New Roman"/>
          <w:b w:val="0"/>
          <w:bCs w:val="0"/>
          <w:color w:val="000000"/>
        </w:rPr>
        <w:t>选择高变基因（</w:t>
      </w:r>
      <w:r w:rsidRPr="00B13E73">
        <w:rPr>
          <w:rStyle w:val="ae"/>
          <w:rFonts w:ascii="Times New Roman" w:eastAsia="楷体" w:hAnsi="Times New Roman"/>
          <w:b w:val="0"/>
          <w:bCs w:val="0"/>
          <w:color w:val="000000"/>
        </w:rPr>
        <w:t>Highly Variable Genes, HVGs</w:t>
      </w:r>
      <w:r w:rsidRPr="00B13E73">
        <w:rPr>
          <w:rStyle w:val="ae"/>
          <w:rFonts w:ascii="Times New Roman" w:eastAsia="楷体" w:hAnsi="Times New Roman"/>
          <w:b w:val="0"/>
          <w:bCs w:val="0"/>
          <w:color w:val="000000"/>
        </w:rPr>
        <w:t>）</w:t>
      </w:r>
    </w:p>
    <w:p w14:paraId="1AF0C7E4" w14:textId="77777777" w:rsidR="00366325" w:rsidRPr="00B13E73" w:rsidRDefault="00366325" w:rsidP="00B13E73">
      <w:pPr>
        <w:pStyle w:val="af1"/>
        <w:spacing w:line="360" w:lineRule="auto"/>
        <w:rPr>
          <w:rFonts w:ascii="Times New Roman" w:eastAsia="楷体" w:hAnsi="Times New Roman"/>
          <w:color w:val="000000"/>
        </w:rPr>
      </w:pPr>
      <w:r w:rsidRPr="00B13E73">
        <w:rPr>
          <w:rFonts w:ascii="Times New Roman" w:eastAsia="楷体" w:hAnsi="Times New Roman"/>
          <w:color w:val="000000"/>
        </w:rPr>
        <w:t>为了增强</w:t>
      </w:r>
      <w:r w:rsidRPr="00B13E73">
        <w:rPr>
          <w:rFonts w:ascii="Times New Roman" w:eastAsia="楷体" w:hAnsi="Times New Roman"/>
          <w:color w:val="000000"/>
        </w:rPr>
        <w:t>PCA</w:t>
      </w:r>
      <w:r w:rsidRPr="00B13E73">
        <w:rPr>
          <w:rFonts w:ascii="Times New Roman" w:eastAsia="楷体" w:hAnsi="Times New Roman"/>
          <w:color w:val="000000"/>
        </w:rPr>
        <w:t>对生物学差异的捕捉能力，常规方法会选择</w:t>
      </w:r>
      <w:r w:rsidRPr="00B13E73">
        <w:rPr>
          <w:rStyle w:val="ae"/>
          <w:rFonts w:ascii="Times New Roman" w:eastAsia="楷体" w:hAnsi="Times New Roman"/>
          <w:color w:val="000000"/>
        </w:rPr>
        <w:t>表达变化较大的基因</w:t>
      </w:r>
      <w:r w:rsidRPr="00B13E73">
        <w:rPr>
          <w:rFonts w:ascii="Times New Roman" w:eastAsia="楷体" w:hAnsi="Times New Roman"/>
          <w:color w:val="000000"/>
        </w:rPr>
        <w:t>（高变基因）：</w:t>
      </w:r>
    </w:p>
    <w:p w14:paraId="09E1391F" w14:textId="6D60964C" w:rsidR="00DF0D70" w:rsidRPr="00B13E73" w:rsidRDefault="00366325" w:rsidP="00B13E73">
      <w:pPr>
        <w:numPr>
          <w:ilvl w:val="0"/>
          <w:numId w:val="29"/>
        </w:numPr>
        <w:spacing w:before="100" w:beforeAutospacing="1" w:after="100" w:afterAutospacing="1" w:line="360" w:lineRule="auto"/>
        <w:rPr>
          <w:rFonts w:ascii="Times New Roman" w:eastAsia="楷体" w:hAnsi="Times New Roman"/>
          <w:color w:val="000000"/>
        </w:rPr>
      </w:pPr>
      <w:r w:rsidRPr="00B13E73">
        <w:rPr>
          <w:rFonts w:ascii="Times New Roman" w:eastAsia="楷体" w:hAnsi="Times New Roman"/>
          <w:color w:val="000000"/>
        </w:rPr>
        <w:t>选取高变基因（如前</w:t>
      </w:r>
      <w:r w:rsidRPr="00B13E73">
        <w:rPr>
          <w:rFonts w:ascii="Times New Roman" w:eastAsia="楷体" w:hAnsi="Times New Roman"/>
          <w:color w:val="000000"/>
        </w:rPr>
        <w:t xml:space="preserve"> 2,000 </w:t>
      </w:r>
      <w:r w:rsidRPr="00B13E73">
        <w:rPr>
          <w:rFonts w:ascii="Times New Roman" w:eastAsia="楷体" w:hAnsi="Times New Roman"/>
          <w:color w:val="000000"/>
        </w:rPr>
        <w:t>个变异最大的基因）</w:t>
      </w:r>
    </w:p>
    <w:p w14:paraId="1A8D01D2" w14:textId="14B88E98" w:rsidR="00366325" w:rsidRPr="00B13E73" w:rsidRDefault="00366325" w:rsidP="00B13E73">
      <w:pPr>
        <w:spacing w:before="100" w:beforeAutospacing="1" w:after="100" w:afterAutospacing="1" w:line="360" w:lineRule="auto"/>
        <w:rPr>
          <w:rFonts w:ascii="Times New Roman" w:eastAsia="楷体" w:hAnsi="Times New Roman"/>
        </w:rPr>
      </w:pPr>
      <w:r w:rsidRPr="00B13E73">
        <w:rPr>
          <w:rFonts w:ascii="Times New Roman" w:eastAsia="楷体" w:hAnsi="Times New Roman"/>
        </w:rPr>
        <w:t>HVG selection methods can be classified into four categories</w:t>
      </w:r>
    </w:p>
    <w:p w14:paraId="3168DF68" w14:textId="46E44450" w:rsidR="00DF0D70" w:rsidRPr="00B13E73" w:rsidRDefault="00DF0D70" w:rsidP="00B13E73">
      <w:pPr>
        <w:spacing w:before="100" w:beforeAutospacing="1" w:after="100" w:afterAutospacing="1" w:line="360" w:lineRule="auto"/>
        <w:rPr>
          <w:rFonts w:ascii="Times New Roman" w:eastAsia="楷体" w:hAnsi="Times New Roman"/>
          <w:color w:val="000000"/>
        </w:rPr>
      </w:pPr>
      <w:r w:rsidRPr="00B13E73">
        <w:rPr>
          <w:rFonts w:ascii="Times New Roman" w:eastAsia="楷体" w:hAnsi="Times New Roman" w:hint="eastAsia"/>
          <w:noProof/>
          <w:color w:val="000000"/>
        </w:rPr>
        <w:drawing>
          <wp:inline distT="0" distB="0" distL="0" distR="0" wp14:anchorId="3E1D8150" wp14:editId="393506D2">
            <wp:extent cx="5274310" cy="1612900"/>
            <wp:effectExtent l="0" t="0" r="0" b="0"/>
            <wp:docPr id="909208159"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08159" name="图片 1" descr="文本&#10;&#10;AI 生成的内容可能不正确。"/>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612900"/>
                    </a:xfrm>
                    <a:prstGeom prst="rect">
                      <a:avLst/>
                    </a:prstGeom>
                  </pic:spPr>
                </pic:pic>
              </a:graphicData>
            </a:graphic>
          </wp:inline>
        </w:drawing>
      </w:r>
    </w:p>
    <w:p w14:paraId="77CA4FFB" w14:textId="77777777" w:rsidR="00366325" w:rsidRPr="00B13E73" w:rsidRDefault="00366325" w:rsidP="00B13E73">
      <w:pPr>
        <w:pStyle w:val="3"/>
        <w:spacing w:line="360" w:lineRule="auto"/>
        <w:rPr>
          <w:rFonts w:ascii="Times New Roman" w:eastAsia="楷体" w:hAnsi="Times New Roman"/>
          <w:color w:val="000000"/>
        </w:rPr>
      </w:pPr>
      <w:r w:rsidRPr="00B13E73">
        <w:rPr>
          <w:rStyle w:val="ae"/>
          <w:rFonts w:ascii="Times New Roman" w:eastAsia="楷体" w:hAnsi="Times New Roman"/>
          <w:b w:val="0"/>
          <w:bCs w:val="0"/>
          <w:color w:val="000000"/>
        </w:rPr>
        <w:lastRenderedPageBreak/>
        <w:t xml:space="preserve">3. </w:t>
      </w:r>
      <w:r w:rsidRPr="00B13E73">
        <w:rPr>
          <w:rStyle w:val="ae"/>
          <w:rFonts w:ascii="Times New Roman" w:eastAsia="楷体" w:hAnsi="Times New Roman"/>
          <w:b w:val="0"/>
          <w:bCs w:val="0"/>
          <w:color w:val="000000"/>
        </w:rPr>
        <w:t>归一化和标准化</w:t>
      </w:r>
    </w:p>
    <w:p w14:paraId="276B58EE" w14:textId="77777777" w:rsidR="00366325" w:rsidRPr="00B13E73" w:rsidRDefault="00366325" w:rsidP="00B13E73">
      <w:pPr>
        <w:pStyle w:val="af1"/>
        <w:spacing w:line="360" w:lineRule="auto"/>
        <w:rPr>
          <w:rFonts w:ascii="Times New Roman" w:eastAsia="楷体" w:hAnsi="Times New Roman"/>
          <w:color w:val="000000"/>
        </w:rPr>
      </w:pPr>
      <w:r w:rsidRPr="00B13E73">
        <w:rPr>
          <w:rFonts w:ascii="Times New Roman" w:eastAsia="楷体" w:hAnsi="Times New Roman"/>
          <w:color w:val="000000"/>
        </w:rPr>
        <w:t>在</w:t>
      </w:r>
      <w:r w:rsidRPr="00B13E73">
        <w:rPr>
          <w:rFonts w:ascii="Times New Roman" w:eastAsia="楷体" w:hAnsi="Times New Roman"/>
          <w:color w:val="000000"/>
        </w:rPr>
        <w:t xml:space="preserve"> PCA </w:t>
      </w:r>
      <w:r w:rsidRPr="00B13E73">
        <w:rPr>
          <w:rFonts w:ascii="Times New Roman" w:eastAsia="楷体" w:hAnsi="Times New Roman"/>
          <w:color w:val="000000"/>
        </w:rPr>
        <w:t>之前，一般需要对数据进行标准化，以消除测序深度等技术因素的影响：</w:t>
      </w:r>
    </w:p>
    <w:p w14:paraId="5C3F68F8" w14:textId="77777777" w:rsidR="00366325" w:rsidRPr="00B13E73" w:rsidRDefault="00366325" w:rsidP="00B13E73">
      <w:pPr>
        <w:numPr>
          <w:ilvl w:val="0"/>
          <w:numId w:val="30"/>
        </w:numPr>
        <w:spacing w:before="100" w:beforeAutospacing="1" w:after="100" w:afterAutospacing="1" w:line="360" w:lineRule="auto"/>
        <w:rPr>
          <w:rFonts w:ascii="Times New Roman" w:eastAsia="楷体" w:hAnsi="Times New Roman"/>
          <w:color w:val="000000"/>
        </w:rPr>
      </w:pPr>
      <w:r w:rsidRPr="00B13E73">
        <w:rPr>
          <w:rStyle w:val="ae"/>
          <w:rFonts w:ascii="Times New Roman" w:eastAsia="楷体" w:hAnsi="Times New Roman"/>
          <w:color w:val="000000"/>
        </w:rPr>
        <w:t>归一化</w:t>
      </w:r>
      <w:r w:rsidRPr="00B13E73">
        <w:rPr>
          <w:rFonts w:ascii="Times New Roman" w:eastAsia="楷体" w:hAnsi="Times New Roman"/>
          <w:color w:val="000000"/>
        </w:rPr>
        <w:t>（</w:t>
      </w:r>
      <w:r w:rsidRPr="00B13E73">
        <w:rPr>
          <w:rFonts w:ascii="Times New Roman" w:eastAsia="楷体" w:hAnsi="Times New Roman"/>
          <w:color w:val="000000"/>
        </w:rPr>
        <w:t>Normalization</w:t>
      </w:r>
      <w:r w:rsidRPr="00B13E73">
        <w:rPr>
          <w:rFonts w:ascii="Times New Roman" w:eastAsia="楷体" w:hAnsi="Times New Roman"/>
          <w:color w:val="000000"/>
        </w:rPr>
        <w:t>）：如按总</w:t>
      </w:r>
      <w:r w:rsidRPr="00B13E73">
        <w:rPr>
          <w:rFonts w:ascii="Times New Roman" w:eastAsia="楷体" w:hAnsi="Times New Roman"/>
          <w:color w:val="000000"/>
        </w:rPr>
        <w:t xml:space="preserve"> UMI </w:t>
      </w:r>
      <w:r w:rsidRPr="00B13E73">
        <w:rPr>
          <w:rFonts w:ascii="Times New Roman" w:eastAsia="楷体" w:hAnsi="Times New Roman"/>
          <w:color w:val="000000"/>
        </w:rPr>
        <w:t>计数归一化到每个细胞</w:t>
      </w:r>
      <w:r w:rsidRPr="00B13E73">
        <w:rPr>
          <w:rFonts w:ascii="Times New Roman" w:eastAsia="楷体" w:hAnsi="Times New Roman"/>
          <w:color w:val="000000"/>
        </w:rPr>
        <w:t xml:space="preserve"> 10,000</w:t>
      </w:r>
      <w:r w:rsidRPr="00B13E73">
        <w:rPr>
          <w:rFonts w:ascii="Times New Roman" w:eastAsia="楷体" w:hAnsi="Times New Roman"/>
          <w:color w:val="000000"/>
        </w:rPr>
        <w:t>（</w:t>
      </w:r>
      <w:r w:rsidRPr="00B13E73">
        <w:rPr>
          <w:rFonts w:ascii="Times New Roman" w:eastAsia="楷体" w:hAnsi="Times New Roman"/>
          <w:color w:val="000000"/>
        </w:rPr>
        <w:t xml:space="preserve">CPM/TPM </w:t>
      </w:r>
      <w:r w:rsidRPr="00B13E73">
        <w:rPr>
          <w:rFonts w:ascii="Times New Roman" w:eastAsia="楷体" w:hAnsi="Times New Roman"/>
          <w:color w:val="000000"/>
        </w:rPr>
        <w:t>标准化）</w:t>
      </w:r>
    </w:p>
    <w:p w14:paraId="07AAC904" w14:textId="77777777" w:rsidR="00366325" w:rsidRPr="00B13E73" w:rsidRDefault="00366325" w:rsidP="00B13E73">
      <w:pPr>
        <w:numPr>
          <w:ilvl w:val="0"/>
          <w:numId w:val="30"/>
        </w:numPr>
        <w:spacing w:before="100" w:beforeAutospacing="1" w:after="100" w:afterAutospacing="1" w:line="360" w:lineRule="auto"/>
        <w:rPr>
          <w:rFonts w:ascii="Times New Roman" w:eastAsia="楷体" w:hAnsi="Times New Roman"/>
          <w:color w:val="000000"/>
        </w:rPr>
      </w:pPr>
      <w:r w:rsidRPr="00B13E73">
        <w:rPr>
          <w:rStyle w:val="ae"/>
          <w:rFonts w:ascii="Times New Roman" w:eastAsia="楷体" w:hAnsi="Times New Roman"/>
          <w:color w:val="000000"/>
        </w:rPr>
        <w:t>对数转换</w:t>
      </w:r>
      <w:r w:rsidRPr="00B13E73">
        <w:rPr>
          <w:rFonts w:ascii="Times New Roman" w:eastAsia="楷体" w:hAnsi="Times New Roman"/>
          <w:color w:val="000000"/>
        </w:rPr>
        <w:t>（</w:t>
      </w:r>
      <w:r w:rsidRPr="00B13E73">
        <w:rPr>
          <w:rFonts w:ascii="Times New Roman" w:eastAsia="楷体" w:hAnsi="Times New Roman"/>
          <w:color w:val="000000"/>
        </w:rPr>
        <w:t>Log transformation</w:t>
      </w:r>
      <w:r w:rsidRPr="00B13E73">
        <w:rPr>
          <w:rFonts w:ascii="Times New Roman" w:eastAsia="楷体" w:hAnsi="Times New Roman"/>
          <w:color w:val="000000"/>
        </w:rPr>
        <w:t>）：如</w:t>
      </w:r>
      <w:r w:rsidRPr="00B13E73">
        <w:rPr>
          <w:rFonts w:ascii="Times New Roman" w:eastAsia="楷体" w:hAnsi="Times New Roman"/>
          <w:color w:val="000000"/>
        </w:rPr>
        <w:t xml:space="preserve"> log1p </w:t>
      </w:r>
      <w:r w:rsidRPr="00B13E73">
        <w:rPr>
          <w:rFonts w:ascii="Times New Roman" w:eastAsia="楷体" w:hAnsi="Times New Roman"/>
          <w:color w:val="000000"/>
        </w:rPr>
        <w:t>变换（</w:t>
      </w:r>
      <w:r w:rsidRPr="00B13E73">
        <w:rPr>
          <w:rFonts w:ascii="Times New Roman" w:eastAsia="楷体" w:hAnsi="Times New Roman"/>
          <w:color w:val="000000"/>
        </w:rPr>
        <w:t>log(x + 1)</w:t>
      </w:r>
      <w:r w:rsidRPr="00B13E73">
        <w:rPr>
          <w:rFonts w:ascii="Times New Roman" w:eastAsia="楷体" w:hAnsi="Times New Roman"/>
          <w:color w:val="000000"/>
        </w:rPr>
        <w:t>）</w:t>
      </w:r>
    </w:p>
    <w:p w14:paraId="3DEE468A" w14:textId="77777777" w:rsidR="00366325" w:rsidRPr="00B13E73" w:rsidRDefault="00366325" w:rsidP="00B13E73">
      <w:pPr>
        <w:numPr>
          <w:ilvl w:val="0"/>
          <w:numId w:val="30"/>
        </w:numPr>
        <w:spacing w:before="100" w:beforeAutospacing="1" w:after="100" w:afterAutospacing="1" w:line="360" w:lineRule="auto"/>
        <w:rPr>
          <w:rFonts w:ascii="Times New Roman" w:eastAsia="楷体" w:hAnsi="Times New Roman"/>
          <w:color w:val="000000"/>
        </w:rPr>
      </w:pPr>
      <w:r w:rsidRPr="00B13E73">
        <w:rPr>
          <w:rStyle w:val="ae"/>
          <w:rFonts w:ascii="Times New Roman" w:eastAsia="楷体" w:hAnsi="Times New Roman"/>
          <w:color w:val="000000"/>
        </w:rPr>
        <w:t xml:space="preserve">Z-score </w:t>
      </w:r>
      <w:r w:rsidRPr="00B13E73">
        <w:rPr>
          <w:rStyle w:val="ae"/>
          <w:rFonts w:ascii="Times New Roman" w:eastAsia="楷体" w:hAnsi="Times New Roman"/>
          <w:color w:val="000000"/>
        </w:rPr>
        <w:t>标准化</w:t>
      </w:r>
      <w:r w:rsidRPr="00B13E73">
        <w:rPr>
          <w:rFonts w:ascii="Times New Roman" w:eastAsia="楷体" w:hAnsi="Times New Roman"/>
          <w:color w:val="000000"/>
        </w:rPr>
        <w:t>：将基因表达值减去均值后除以标准差</w:t>
      </w:r>
    </w:p>
    <w:p w14:paraId="0B958519" w14:textId="77777777" w:rsidR="00B13E73" w:rsidRPr="00B13E73" w:rsidRDefault="00B13E73" w:rsidP="00B13E73">
      <w:pPr>
        <w:pStyle w:val="3"/>
        <w:spacing w:line="360" w:lineRule="auto"/>
        <w:rPr>
          <w:rFonts w:ascii="Times New Roman" w:eastAsia="楷体" w:hAnsi="Times New Roman"/>
          <w:color w:val="000000"/>
        </w:rPr>
      </w:pPr>
      <w:r w:rsidRPr="00B13E73">
        <w:rPr>
          <w:rFonts w:ascii="Times New Roman" w:eastAsia="楷体" w:hAnsi="Times New Roman"/>
          <w:color w:val="000000"/>
        </w:rPr>
        <w:t>Seurat</w:t>
      </w:r>
      <w:r w:rsidRPr="00B13E73">
        <w:rPr>
          <w:rFonts w:ascii="Times New Roman" w:eastAsia="楷体" w:hAnsi="Times New Roman"/>
          <w:color w:val="000000"/>
        </w:rPr>
        <w:t>中的</w:t>
      </w:r>
      <w:r w:rsidRPr="00B13E73">
        <w:rPr>
          <w:rStyle w:val="text-sm"/>
          <w:rFonts w:ascii="Times New Roman" w:eastAsia="楷体" w:hAnsi="Times New Roman"/>
          <w:color w:val="000000"/>
        </w:rPr>
        <w:t>ScaleData</w:t>
      </w:r>
      <w:r w:rsidRPr="00B13E73">
        <w:rPr>
          <w:rFonts w:ascii="Times New Roman" w:eastAsia="楷体" w:hAnsi="Times New Roman"/>
          <w:color w:val="000000"/>
        </w:rPr>
        <w:t>具体做什么？</w:t>
      </w:r>
    </w:p>
    <w:p w14:paraId="021FBBEB" w14:textId="77777777" w:rsidR="00B13E73" w:rsidRPr="00B13E73" w:rsidRDefault="00B13E73" w:rsidP="00B13E73">
      <w:pPr>
        <w:pStyle w:val="break-words"/>
        <w:spacing w:line="360" w:lineRule="auto"/>
        <w:rPr>
          <w:rFonts w:ascii="Times New Roman" w:eastAsia="楷体" w:hAnsi="Times New Roman"/>
          <w:color w:val="000000"/>
        </w:rPr>
      </w:pPr>
      <w:r w:rsidRPr="00B13E73">
        <w:rPr>
          <w:rFonts w:ascii="Times New Roman" w:eastAsia="楷体" w:hAnsi="Times New Roman"/>
          <w:color w:val="000000"/>
        </w:rPr>
        <w:t>在</w:t>
      </w:r>
      <w:r w:rsidRPr="00B13E73">
        <w:rPr>
          <w:rFonts w:ascii="Times New Roman" w:eastAsia="楷体" w:hAnsi="Times New Roman"/>
          <w:color w:val="000000"/>
        </w:rPr>
        <w:t>Seurat</w:t>
      </w:r>
      <w:r w:rsidRPr="00B13E73">
        <w:rPr>
          <w:rFonts w:ascii="Times New Roman" w:eastAsia="楷体" w:hAnsi="Times New Roman"/>
          <w:color w:val="000000"/>
        </w:rPr>
        <w:t>的工作流程中，</w:t>
      </w:r>
      <w:r w:rsidRPr="00B13E73">
        <w:rPr>
          <w:rStyle w:val="text-sm"/>
          <w:rFonts w:ascii="Times New Roman" w:eastAsia="楷体" w:hAnsi="Times New Roman"/>
          <w:color w:val="000000"/>
        </w:rPr>
        <w:t>ScaleData</w:t>
      </w:r>
      <w:r w:rsidRPr="00B13E73">
        <w:rPr>
          <w:rFonts w:ascii="Times New Roman" w:eastAsia="楷体" w:hAnsi="Times New Roman"/>
          <w:color w:val="000000"/>
        </w:rPr>
        <w:t>通常在</w:t>
      </w:r>
      <w:r w:rsidRPr="00B13E73">
        <w:rPr>
          <w:rStyle w:val="text-sm"/>
          <w:rFonts w:ascii="Times New Roman" w:eastAsia="楷体" w:hAnsi="Times New Roman"/>
          <w:color w:val="000000"/>
        </w:rPr>
        <w:t>NormalizeData</w:t>
      </w:r>
      <w:r w:rsidRPr="00B13E73">
        <w:rPr>
          <w:rFonts w:ascii="Times New Roman" w:eastAsia="楷体" w:hAnsi="Times New Roman"/>
          <w:color w:val="000000"/>
        </w:rPr>
        <w:t>（归一化）和</w:t>
      </w:r>
      <w:r w:rsidRPr="00B13E73">
        <w:rPr>
          <w:rStyle w:val="text-sm"/>
          <w:rFonts w:ascii="Times New Roman" w:eastAsia="楷体" w:hAnsi="Times New Roman"/>
          <w:color w:val="000000"/>
        </w:rPr>
        <w:t>FindVariableFeatures</w:t>
      </w:r>
      <w:r w:rsidRPr="00B13E73">
        <w:rPr>
          <w:rFonts w:ascii="Times New Roman" w:eastAsia="楷体" w:hAnsi="Times New Roman"/>
          <w:color w:val="000000"/>
        </w:rPr>
        <w:t>（筛选高变异基因）之后、运行</w:t>
      </w:r>
      <w:r w:rsidRPr="00B13E73">
        <w:rPr>
          <w:rStyle w:val="text-sm"/>
          <w:rFonts w:ascii="Times New Roman" w:eastAsia="楷体" w:hAnsi="Times New Roman"/>
          <w:color w:val="000000"/>
        </w:rPr>
        <w:t>RunPCA</w:t>
      </w:r>
      <w:r w:rsidRPr="00B13E73">
        <w:rPr>
          <w:rFonts w:ascii="Times New Roman" w:eastAsia="楷体" w:hAnsi="Times New Roman"/>
          <w:color w:val="000000"/>
        </w:rPr>
        <w:t>之前执行。它包括以下步骤：</w:t>
      </w:r>
    </w:p>
    <w:p w14:paraId="1678E3D1" w14:textId="77777777" w:rsidR="00B13E73" w:rsidRPr="00B13E73" w:rsidRDefault="00B13E73" w:rsidP="00B13E73">
      <w:pPr>
        <w:pStyle w:val="break-words"/>
        <w:numPr>
          <w:ilvl w:val="0"/>
          <w:numId w:val="34"/>
        </w:numPr>
        <w:spacing w:line="360" w:lineRule="auto"/>
        <w:rPr>
          <w:rFonts w:ascii="Times New Roman" w:eastAsia="楷体" w:hAnsi="Times New Roman"/>
          <w:color w:val="000000"/>
        </w:rPr>
      </w:pPr>
      <w:r w:rsidRPr="00B13E73">
        <w:rPr>
          <w:rStyle w:val="ae"/>
          <w:rFonts w:ascii="Times New Roman" w:eastAsia="楷体" w:hAnsi="Times New Roman"/>
          <w:color w:val="000000"/>
        </w:rPr>
        <w:t>中心化（</w:t>
      </w:r>
      <w:r w:rsidRPr="00B13E73">
        <w:rPr>
          <w:rStyle w:val="ae"/>
          <w:rFonts w:ascii="Times New Roman" w:eastAsia="楷体" w:hAnsi="Times New Roman"/>
          <w:color w:val="000000"/>
        </w:rPr>
        <w:t>Centering</w:t>
      </w:r>
      <w:r w:rsidRPr="00B13E73">
        <w:rPr>
          <w:rStyle w:val="ae"/>
          <w:rFonts w:ascii="Times New Roman" w:eastAsia="楷体" w:hAnsi="Times New Roman"/>
          <w:color w:val="000000"/>
        </w:rPr>
        <w:t>）</w:t>
      </w:r>
      <w:r w:rsidRPr="00B13E73">
        <w:rPr>
          <w:rFonts w:ascii="Times New Roman" w:eastAsia="楷体" w:hAnsi="Times New Roman"/>
          <w:color w:val="000000"/>
        </w:rPr>
        <w:t>：将每个基因的表达值减去其均值，使均值为</w:t>
      </w:r>
      <w:r w:rsidRPr="00B13E73">
        <w:rPr>
          <w:rFonts w:ascii="Times New Roman" w:eastAsia="楷体" w:hAnsi="Times New Roman"/>
          <w:color w:val="000000"/>
        </w:rPr>
        <w:t>0</w:t>
      </w:r>
      <w:r w:rsidRPr="00B13E73">
        <w:rPr>
          <w:rFonts w:ascii="Times New Roman" w:eastAsia="楷体" w:hAnsi="Times New Roman"/>
          <w:color w:val="000000"/>
        </w:rPr>
        <w:t>。</w:t>
      </w:r>
    </w:p>
    <w:p w14:paraId="36C87A4F" w14:textId="77777777" w:rsidR="00B13E73" w:rsidRPr="00B13E73" w:rsidRDefault="00B13E73" w:rsidP="00B13E73">
      <w:pPr>
        <w:pStyle w:val="break-words"/>
        <w:numPr>
          <w:ilvl w:val="0"/>
          <w:numId w:val="34"/>
        </w:numPr>
        <w:spacing w:line="360" w:lineRule="auto"/>
        <w:rPr>
          <w:rFonts w:ascii="Times New Roman" w:eastAsia="楷体" w:hAnsi="Times New Roman"/>
          <w:color w:val="000000"/>
        </w:rPr>
      </w:pPr>
      <w:r w:rsidRPr="00B13E73">
        <w:rPr>
          <w:rStyle w:val="ae"/>
          <w:rFonts w:ascii="Times New Roman" w:eastAsia="楷体" w:hAnsi="Times New Roman"/>
          <w:color w:val="000000"/>
        </w:rPr>
        <w:t>缩放（</w:t>
      </w:r>
      <w:r w:rsidRPr="00B13E73">
        <w:rPr>
          <w:rStyle w:val="ae"/>
          <w:rFonts w:ascii="Times New Roman" w:eastAsia="楷体" w:hAnsi="Times New Roman"/>
          <w:color w:val="000000"/>
        </w:rPr>
        <w:t>Scaling</w:t>
      </w:r>
      <w:r w:rsidRPr="00B13E73">
        <w:rPr>
          <w:rStyle w:val="ae"/>
          <w:rFonts w:ascii="Times New Roman" w:eastAsia="楷体" w:hAnsi="Times New Roman"/>
          <w:color w:val="000000"/>
        </w:rPr>
        <w:t>）</w:t>
      </w:r>
      <w:r w:rsidRPr="00B13E73">
        <w:rPr>
          <w:rFonts w:ascii="Times New Roman" w:eastAsia="楷体" w:hAnsi="Times New Roman"/>
          <w:color w:val="000000"/>
        </w:rPr>
        <w:t>：将每个基因的表达值除以其标准差，使方差为</w:t>
      </w:r>
      <w:r w:rsidRPr="00B13E73">
        <w:rPr>
          <w:rFonts w:ascii="Times New Roman" w:eastAsia="楷体" w:hAnsi="Times New Roman"/>
          <w:color w:val="000000"/>
        </w:rPr>
        <w:t>1</w:t>
      </w:r>
      <w:r w:rsidRPr="00B13E73">
        <w:rPr>
          <w:rFonts w:ascii="Times New Roman" w:eastAsia="楷体" w:hAnsi="Times New Roman"/>
          <w:color w:val="000000"/>
        </w:rPr>
        <w:t>。</w:t>
      </w:r>
    </w:p>
    <w:p w14:paraId="588B6F15" w14:textId="4C58E939" w:rsidR="00B13E73" w:rsidRPr="00B13E73" w:rsidRDefault="00B13E73" w:rsidP="00B13E73">
      <w:pPr>
        <w:pStyle w:val="break-words"/>
        <w:numPr>
          <w:ilvl w:val="0"/>
          <w:numId w:val="34"/>
        </w:numPr>
        <w:spacing w:line="360" w:lineRule="auto"/>
        <w:rPr>
          <w:rFonts w:ascii="Times New Roman" w:eastAsia="楷体" w:hAnsi="Times New Roman"/>
          <w:color w:val="000000"/>
        </w:rPr>
      </w:pPr>
      <w:r w:rsidRPr="00B13E73">
        <w:rPr>
          <w:rStyle w:val="ae"/>
          <w:rFonts w:ascii="Times New Roman" w:eastAsia="楷体" w:hAnsi="Times New Roman"/>
          <w:color w:val="000000"/>
        </w:rPr>
        <w:t>可选的回归（</w:t>
      </w:r>
      <w:r w:rsidRPr="00B13E73">
        <w:rPr>
          <w:rStyle w:val="ae"/>
          <w:rFonts w:ascii="Times New Roman" w:eastAsia="楷体" w:hAnsi="Times New Roman"/>
          <w:color w:val="000000"/>
        </w:rPr>
        <w:t>Regress out</w:t>
      </w:r>
      <w:r w:rsidRPr="00B13E73">
        <w:rPr>
          <w:rStyle w:val="ae"/>
          <w:rFonts w:ascii="Times New Roman" w:eastAsia="楷体" w:hAnsi="Times New Roman"/>
          <w:color w:val="000000"/>
        </w:rPr>
        <w:t>）</w:t>
      </w:r>
      <w:r w:rsidRPr="00B13E73">
        <w:rPr>
          <w:rFonts w:ascii="Times New Roman" w:eastAsia="楷体" w:hAnsi="Times New Roman"/>
          <w:color w:val="000000"/>
        </w:rPr>
        <w:t>：可以选择移除不需要的变异来源，例如细胞周期效应、线粒体基因比例或批次效应（通过参数</w:t>
      </w:r>
      <w:r w:rsidRPr="00B13E73">
        <w:rPr>
          <w:rStyle w:val="text-sm"/>
          <w:rFonts w:ascii="Times New Roman" w:eastAsia="楷体" w:hAnsi="Times New Roman"/>
          <w:color w:val="000000"/>
        </w:rPr>
        <w:t>vars.to.regress</w:t>
      </w:r>
      <w:r w:rsidRPr="00B13E73">
        <w:rPr>
          <w:rFonts w:ascii="Times New Roman" w:eastAsia="楷体" w:hAnsi="Times New Roman"/>
          <w:color w:val="000000"/>
        </w:rPr>
        <w:t>指定）。</w:t>
      </w:r>
    </w:p>
    <w:p w14:paraId="78315B15" w14:textId="77777777" w:rsidR="00B13E73" w:rsidRPr="00B13E73" w:rsidRDefault="00B13E73" w:rsidP="00B13E73">
      <w:pPr>
        <w:pStyle w:val="a9"/>
        <w:numPr>
          <w:ilvl w:val="0"/>
          <w:numId w:val="36"/>
        </w:numPr>
        <w:spacing w:line="360" w:lineRule="auto"/>
        <w:rPr>
          <w:rStyle w:val="apple-converted-space"/>
          <w:rFonts w:ascii="Times New Roman" w:eastAsia="楷体" w:hAnsi="Times New Roman"/>
          <w:color w:val="000000"/>
        </w:rPr>
      </w:pPr>
      <w:r w:rsidRPr="00B13E73">
        <w:rPr>
          <w:rFonts w:ascii="Times New Roman" w:eastAsia="楷体" w:hAnsi="Times New Roman"/>
          <w:color w:val="000000"/>
        </w:rPr>
        <w:t># Seurat</w:t>
      </w:r>
      <w:r w:rsidRPr="00B13E73">
        <w:rPr>
          <w:rFonts w:ascii="Times New Roman" w:eastAsia="楷体" w:hAnsi="Times New Roman"/>
          <w:color w:val="000000"/>
        </w:rPr>
        <w:t>流程</w:t>
      </w:r>
    </w:p>
    <w:p w14:paraId="18802865" w14:textId="77777777" w:rsidR="00B13E73" w:rsidRPr="00B13E73" w:rsidRDefault="00B13E73" w:rsidP="00B13E73">
      <w:pPr>
        <w:spacing w:line="360" w:lineRule="auto"/>
        <w:ind w:left="360"/>
        <w:rPr>
          <w:rFonts w:ascii="Times New Roman" w:eastAsia="楷体" w:hAnsi="Times New Roman"/>
          <w:color w:val="000000"/>
        </w:rPr>
      </w:pPr>
      <w:proofErr w:type="spellStart"/>
      <w:r w:rsidRPr="00B13E73">
        <w:rPr>
          <w:rFonts w:ascii="Times New Roman" w:eastAsia="楷体" w:hAnsi="Times New Roman"/>
          <w:color w:val="000000"/>
        </w:rPr>
        <w:t>seurat_obj</w:t>
      </w:r>
      <w:proofErr w:type="spellEnd"/>
      <w:r w:rsidRPr="00B13E73">
        <w:rPr>
          <w:rFonts w:ascii="Times New Roman" w:eastAsia="楷体" w:hAnsi="Times New Roman"/>
          <w:color w:val="000000"/>
        </w:rPr>
        <w:t xml:space="preserve"> &lt;- NormalizeData(</w:t>
      </w:r>
      <w:proofErr w:type="spellStart"/>
      <w:r w:rsidRPr="00B13E73">
        <w:rPr>
          <w:rFonts w:ascii="Times New Roman" w:eastAsia="楷体" w:hAnsi="Times New Roman"/>
          <w:color w:val="000000"/>
        </w:rPr>
        <w:t>seurat_obj</w:t>
      </w:r>
      <w:proofErr w:type="spellEnd"/>
      <w:r w:rsidRPr="00B13E73">
        <w:rPr>
          <w:rFonts w:ascii="Times New Roman" w:eastAsia="楷体" w:hAnsi="Times New Roman"/>
          <w:color w:val="000000"/>
        </w:rPr>
        <w:t xml:space="preserve">) # </w:t>
      </w:r>
      <w:r w:rsidRPr="00B13E73">
        <w:rPr>
          <w:rFonts w:ascii="Times New Roman" w:eastAsia="楷体" w:hAnsi="Times New Roman"/>
          <w:color w:val="000000"/>
        </w:rPr>
        <w:t>归一化</w:t>
      </w:r>
      <w:r w:rsidRPr="00B13E73">
        <w:rPr>
          <w:rFonts w:ascii="Times New Roman" w:eastAsia="楷体" w:hAnsi="Times New Roman"/>
          <w:color w:val="000000"/>
        </w:rPr>
        <w:t xml:space="preserve"> </w:t>
      </w:r>
    </w:p>
    <w:p w14:paraId="079A7699" w14:textId="77777777" w:rsidR="00B13E73" w:rsidRPr="00B13E73" w:rsidRDefault="00B13E73" w:rsidP="00B13E73">
      <w:pPr>
        <w:spacing w:line="360" w:lineRule="auto"/>
        <w:ind w:left="360"/>
        <w:rPr>
          <w:rFonts w:ascii="Times New Roman" w:eastAsia="楷体" w:hAnsi="Times New Roman"/>
          <w:color w:val="000000"/>
        </w:rPr>
      </w:pPr>
      <w:proofErr w:type="spellStart"/>
      <w:r w:rsidRPr="00B13E73">
        <w:rPr>
          <w:rFonts w:ascii="Times New Roman" w:eastAsia="楷体" w:hAnsi="Times New Roman"/>
          <w:color w:val="000000"/>
        </w:rPr>
        <w:t>seurat_obj</w:t>
      </w:r>
      <w:proofErr w:type="spellEnd"/>
      <w:r w:rsidRPr="00B13E73">
        <w:rPr>
          <w:rFonts w:ascii="Times New Roman" w:eastAsia="楷体" w:hAnsi="Times New Roman"/>
          <w:color w:val="000000"/>
        </w:rPr>
        <w:t xml:space="preserve"> &lt;- FindVariableFeatures(</w:t>
      </w:r>
      <w:proofErr w:type="spellStart"/>
      <w:r w:rsidRPr="00B13E73">
        <w:rPr>
          <w:rFonts w:ascii="Times New Roman" w:eastAsia="楷体" w:hAnsi="Times New Roman"/>
          <w:color w:val="000000"/>
        </w:rPr>
        <w:t>seurat_obj</w:t>
      </w:r>
      <w:proofErr w:type="spellEnd"/>
      <w:r w:rsidRPr="00B13E73">
        <w:rPr>
          <w:rFonts w:ascii="Times New Roman" w:eastAsia="楷体" w:hAnsi="Times New Roman"/>
          <w:color w:val="000000"/>
        </w:rPr>
        <w:t xml:space="preserve">) # </w:t>
      </w:r>
      <w:r w:rsidRPr="00B13E73">
        <w:rPr>
          <w:rFonts w:ascii="Times New Roman" w:eastAsia="楷体" w:hAnsi="Times New Roman"/>
          <w:color w:val="000000"/>
        </w:rPr>
        <w:t>筛选高变异基因</w:t>
      </w:r>
      <w:r w:rsidRPr="00B13E73">
        <w:rPr>
          <w:rFonts w:ascii="Times New Roman" w:eastAsia="楷体" w:hAnsi="Times New Roman"/>
          <w:color w:val="000000"/>
        </w:rPr>
        <w:t xml:space="preserve"> </w:t>
      </w:r>
    </w:p>
    <w:p w14:paraId="4BC47F22" w14:textId="77777777" w:rsidR="00B13E73" w:rsidRPr="00B13E73" w:rsidRDefault="00B13E73" w:rsidP="00B13E73">
      <w:pPr>
        <w:spacing w:line="360" w:lineRule="auto"/>
        <w:ind w:left="360"/>
        <w:rPr>
          <w:rFonts w:ascii="Times New Roman" w:eastAsia="楷体" w:hAnsi="Times New Roman"/>
          <w:color w:val="000000"/>
        </w:rPr>
      </w:pPr>
      <w:proofErr w:type="spellStart"/>
      <w:r w:rsidRPr="00B13E73">
        <w:rPr>
          <w:rFonts w:ascii="Times New Roman" w:eastAsia="楷体" w:hAnsi="Times New Roman"/>
          <w:color w:val="000000"/>
        </w:rPr>
        <w:t>seurat_obj</w:t>
      </w:r>
      <w:proofErr w:type="spellEnd"/>
      <w:r w:rsidRPr="00B13E73">
        <w:rPr>
          <w:rFonts w:ascii="Times New Roman" w:eastAsia="楷体" w:hAnsi="Times New Roman"/>
          <w:color w:val="000000"/>
        </w:rPr>
        <w:t xml:space="preserve"> &lt;- ScaleData(</w:t>
      </w:r>
      <w:proofErr w:type="spellStart"/>
      <w:r w:rsidRPr="00B13E73">
        <w:rPr>
          <w:rFonts w:ascii="Times New Roman" w:eastAsia="楷体" w:hAnsi="Times New Roman"/>
          <w:color w:val="000000"/>
        </w:rPr>
        <w:t>seurat_obj</w:t>
      </w:r>
      <w:proofErr w:type="spellEnd"/>
      <w:r w:rsidRPr="00B13E73">
        <w:rPr>
          <w:rFonts w:ascii="Times New Roman" w:eastAsia="楷体" w:hAnsi="Times New Roman"/>
          <w:color w:val="000000"/>
        </w:rPr>
        <w:t xml:space="preserve">) # </w:t>
      </w:r>
      <w:r w:rsidRPr="00B13E73">
        <w:rPr>
          <w:rFonts w:ascii="Times New Roman" w:eastAsia="楷体" w:hAnsi="Times New Roman"/>
          <w:color w:val="000000"/>
        </w:rPr>
        <w:t>缩放数据</w:t>
      </w:r>
      <w:r w:rsidRPr="00B13E73">
        <w:rPr>
          <w:rFonts w:ascii="Times New Roman" w:eastAsia="楷体" w:hAnsi="Times New Roman"/>
          <w:color w:val="000000"/>
        </w:rPr>
        <w:t xml:space="preserve"> </w:t>
      </w:r>
    </w:p>
    <w:p w14:paraId="4838E8FB" w14:textId="0F40A6D4" w:rsidR="00B13E73" w:rsidRPr="00B13E73" w:rsidRDefault="00B13E73" w:rsidP="00B13E73">
      <w:pPr>
        <w:spacing w:line="360" w:lineRule="auto"/>
        <w:ind w:left="360"/>
        <w:rPr>
          <w:rFonts w:ascii="Times New Roman" w:eastAsia="楷体" w:hAnsi="Times New Roman"/>
          <w:color w:val="000000"/>
        </w:rPr>
      </w:pPr>
      <w:proofErr w:type="spellStart"/>
      <w:r w:rsidRPr="00B13E73">
        <w:rPr>
          <w:rFonts w:ascii="Times New Roman" w:eastAsia="楷体" w:hAnsi="Times New Roman"/>
          <w:color w:val="000000"/>
        </w:rPr>
        <w:t>seurat_obj</w:t>
      </w:r>
      <w:proofErr w:type="spellEnd"/>
      <w:r w:rsidRPr="00B13E73">
        <w:rPr>
          <w:rFonts w:ascii="Times New Roman" w:eastAsia="楷体" w:hAnsi="Times New Roman"/>
          <w:color w:val="000000"/>
        </w:rPr>
        <w:t xml:space="preserve"> &lt;- RunPCA(</w:t>
      </w:r>
      <w:proofErr w:type="spellStart"/>
      <w:r w:rsidRPr="00B13E73">
        <w:rPr>
          <w:rFonts w:ascii="Times New Roman" w:eastAsia="楷体" w:hAnsi="Times New Roman"/>
          <w:color w:val="000000"/>
        </w:rPr>
        <w:t>seurat_obj</w:t>
      </w:r>
      <w:proofErr w:type="spellEnd"/>
      <w:r w:rsidRPr="00B13E73">
        <w:rPr>
          <w:rFonts w:ascii="Times New Roman" w:eastAsia="楷体" w:hAnsi="Times New Roman"/>
          <w:color w:val="000000"/>
        </w:rPr>
        <w:t xml:space="preserve">) # </w:t>
      </w:r>
      <w:r w:rsidRPr="00B13E73">
        <w:rPr>
          <w:rFonts w:ascii="Times New Roman" w:eastAsia="楷体" w:hAnsi="Times New Roman"/>
          <w:color w:val="000000"/>
        </w:rPr>
        <w:t>运行</w:t>
      </w:r>
      <w:r w:rsidRPr="00B13E73">
        <w:rPr>
          <w:rFonts w:ascii="Times New Roman" w:eastAsia="楷体" w:hAnsi="Times New Roman"/>
          <w:color w:val="000000"/>
        </w:rPr>
        <w:t>PCA</w:t>
      </w:r>
    </w:p>
    <w:p w14:paraId="7914FCCA" w14:textId="77777777" w:rsidR="00366325" w:rsidRPr="00B13E73" w:rsidRDefault="00366325" w:rsidP="00B13E73">
      <w:pPr>
        <w:pStyle w:val="3"/>
        <w:spacing w:line="360" w:lineRule="auto"/>
        <w:rPr>
          <w:rFonts w:ascii="Times New Roman" w:eastAsia="楷体" w:hAnsi="Times New Roman"/>
          <w:color w:val="000000"/>
        </w:rPr>
      </w:pPr>
      <w:r w:rsidRPr="00B13E73">
        <w:rPr>
          <w:rStyle w:val="ae"/>
          <w:rFonts w:ascii="Times New Roman" w:eastAsia="楷体" w:hAnsi="Times New Roman"/>
          <w:b w:val="0"/>
          <w:bCs w:val="0"/>
          <w:color w:val="000000"/>
        </w:rPr>
        <w:t xml:space="preserve">4. </w:t>
      </w:r>
      <w:r w:rsidRPr="00B13E73">
        <w:rPr>
          <w:rStyle w:val="ae"/>
          <w:rFonts w:ascii="Times New Roman" w:eastAsia="楷体" w:hAnsi="Times New Roman"/>
          <w:b w:val="0"/>
          <w:bCs w:val="0"/>
          <w:color w:val="000000"/>
        </w:rPr>
        <w:t>计算</w:t>
      </w:r>
      <w:r w:rsidRPr="00B13E73">
        <w:rPr>
          <w:rStyle w:val="ae"/>
          <w:rFonts w:ascii="Times New Roman" w:eastAsia="楷体" w:hAnsi="Times New Roman"/>
          <w:b w:val="0"/>
          <w:bCs w:val="0"/>
          <w:color w:val="000000"/>
        </w:rPr>
        <w:t xml:space="preserve"> PCA</w:t>
      </w:r>
    </w:p>
    <w:p w14:paraId="3532B75C" w14:textId="77777777" w:rsidR="00366325" w:rsidRPr="00B13E73" w:rsidRDefault="00366325" w:rsidP="00B13E73">
      <w:pPr>
        <w:numPr>
          <w:ilvl w:val="0"/>
          <w:numId w:val="31"/>
        </w:numPr>
        <w:spacing w:before="100" w:beforeAutospacing="1" w:after="100" w:afterAutospacing="1" w:line="360" w:lineRule="auto"/>
        <w:rPr>
          <w:rFonts w:ascii="Times New Roman" w:eastAsia="楷体" w:hAnsi="Times New Roman"/>
          <w:color w:val="000000"/>
        </w:rPr>
      </w:pPr>
      <w:r w:rsidRPr="00B13E73">
        <w:rPr>
          <w:rFonts w:ascii="Times New Roman" w:eastAsia="楷体" w:hAnsi="Times New Roman"/>
          <w:color w:val="000000"/>
        </w:rPr>
        <w:t>在上述筛选出的高变基因上进行</w:t>
      </w:r>
      <w:r w:rsidRPr="00B13E73">
        <w:rPr>
          <w:rFonts w:ascii="Times New Roman" w:eastAsia="楷体" w:hAnsi="Times New Roman"/>
          <w:color w:val="000000"/>
        </w:rPr>
        <w:t xml:space="preserve"> PCA</w:t>
      </w:r>
    </w:p>
    <w:p w14:paraId="77E07CCF" w14:textId="6890E434" w:rsidR="00AA4DA2" w:rsidRDefault="00366325" w:rsidP="00AA4DA2">
      <w:pPr>
        <w:numPr>
          <w:ilvl w:val="0"/>
          <w:numId w:val="31"/>
        </w:numPr>
        <w:spacing w:before="100" w:beforeAutospacing="1" w:after="100" w:afterAutospacing="1" w:line="360" w:lineRule="auto"/>
        <w:rPr>
          <w:rFonts w:ascii="Times New Roman" w:eastAsia="楷体" w:hAnsi="Times New Roman"/>
          <w:color w:val="000000"/>
        </w:rPr>
      </w:pPr>
      <w:r w:rsidRPr="00B13E73">
        <w:rPr>
          <w:rFonts w:ascii="Times New Roman" w:eastAsia="楷体" w:hAnsi="Times New Roman"/>
          <w:color w:val="000000"/>
        </w:rPr>
        <w:t>选择前</w:t>
      </w:r>
      <w:r w:rsidRPr="00B13E73">
        <w:rPr>
          <w:rFonts w:ascii="Times New Roman" w:eastAsia="楷体" w:hAnsi="Times New Roman"/>
          <w:color w:val="000000"/>
        </w:rPr>
        <w:t xml:space="preserve"> 10-50 </w:t>
      </w:r>
      <w:r w:rsidRPr="00B13E73">
        <w:rPr>
          <w:rFonts w:ascii="Times New Roman" w:eastAsia="楷体" w:hAnsi="Times New Roman"/>
          <w:color w:val="000000"/>
        </w:rPr>
        <w:t>个主成分（</w:t>
      </w:r>
      <w:r w:rsidRPr="00B13E73">
        <w:rPr>
          <w:rFonts w:ascii="Times New Roman" w:eastAsia="楷体" w:hAnsi="Times New Roman"/>
          <w:color w:val="000000"/>
        </w:rPr>
        <w:t>PCs</w:t>
      </w:r>
      <w:r w:rsidRPr="00B13E73">
        <w:rPr>
          <w:rFonts w:ascii="Times New Roman" w:eastAsia="楷体" w:hAnsi="Times New Roman"/>
          <w:color w:val="000000"/>
        </w:rPr>
        <w:t>）用于后续聚类或</w:t>
      </w:r>
      <w:r w:rsidRPr="00B13E73">
        <w:rPr>
          <w:rFonts w:ascii="Times New Roman" w:eastAsia="楷体" w:hAnsi="Times New Roman"/>
          <w:color w:val="000000"/>
        </w:rPr>
        <w:t xml:space="preserve"> UMAP/tSNE </w:t>
      </w:r>
      <w:r w:rsidRPr="00B13E73">
        <w:rPr>
          <w:rFonts w:ascii="Times New Roman" w:eastAsia="楷体" w:hAnsi="Times New Roman"/>
          <w:color w:val="000000"/>
        </w:rPr>
        <w:t>降维</w:t>
      </w:r>
    </w:p>
    <w:p w14:paraId="6113D7D6" w14:textId="69A37E40" w:rsidR="00476887" w:rsidRPr="00476887" w:rsidRDefault="00476887" w:rsidP="00476887">
      <w:pPr>
        <w:pStyle w:val="2"/>
        <w:rPr>
          <w:rFonts w:eastAsia="宋体"/>
          <w:color w:val="080808"/>
          <w:sz w:val="32"/>
          <w:szCs w:val="32"/>
        </w:rPr>
      </w:pPr>
      <w:r w:rsidRPr="00476887">
        <w:rPr>
          <w:sz w:val="32"/>
          <w:szCs w:val="32"/>
        </w:rPr>
        <w:lastRenderedPageBreak/>
        <w:t>Dimensionality Reduction:</w:t>
      </w:r>
      <w:r>
        <w:rPr>
          <w:rFonts w:hint="eastAsia"/>
          <w:sz w:val="32"/>
          <w:szCs w:val="32"/>
        </w:rPr>
        <w:t xml:space="preserve"> </w:t>
      </w:r>
      <w:r w:rsidRPr="00476887">
        <w:rPr>
          <w:sz w:val="32"/>
          <w:szCs w:val="32"/>
        </w:rPr>
        <w:t>PCA+Cluster the cells:UMAP+tSNE</w:t>
      </w:r>
    </w:p>
    <w:p w14:paraId="3BA6DA56" w14:textId="6FE7E657" w:rsidR="00FC3378" w:rsidRPr="00476887" w:rsidRDefault="00476887" w:rsidP="00476887">
      <w:pPr>
        <w:rPr>
          <w:rFonts w:ascii="Times New Roman" w:eastAsia="楷体" w:hAnsi="Times New Roman"/>
        </w:rPr>
      </w:pPr>
      <w:r w:rsidRPr="00476887">
        <w:tab/>
      </w:r>
      <w:r w:rsidRPr="00476887">
        <w:rPr>
          <w:rFonts w:ascii="Times New Roman" w:eastAsia="楷体" w:hAnsi="Times New Roman"/>
        </w:rPr>
        <w:t>在</w:t>
      </w:r>
      <w:r w:rsidRPr="00476887">
        <w:rPr>
          <w:rFonts w:ascii="Times New Roman" w:eastAsia="楷体" w:hAnsi="Times New Roman"/>
        </w:rPr>
        <w:t>scRNA-seq</w:t>
      </w:r>
      <w:r w:rsidRPr="00476887">
        <w:rPr>
          <w:rFonts w:ascii="Times New Roman" w:eastAsia="楷体" w:hAnsi="Times New Roman"/>
        </w:rPr>
        <w:t>数据分析中，我们通过寻找与已知细胞状态或细胞周期阶段相关的细胞身份来描述数据集中的细胞结构。这一过程通常被称为细胞身份注释。为此，我们将细胞组织成簇，以推断相似细胞的身份。聚类本身是一个常见的无监督机器学习问题。我们可以通过在降维后的表达空间中最小化簇内距离来得出簇。在这种情况下，表达空间决定了细胞在降维表示下的基因表达相似性。例如，这种低维表示可以通过主成分分析（</w:t>
      </w:r>
      <w:r w:rsidRPr="00476887">
        <w:rPr>
          <w:rFonts w:ascii="Times New Roman" w:eastAsia="楷体" w:hAnsi="Times New Roman"/>
        </w:rPr>
        <w:t>PCA</w:t>
      </w:r>
      <w:r w:rsidRPr="00476887">
        <w:rPr>
          <w:rFonts w:ascii="Times New Roman" w:eastAsia="楷体" w:hAnsi="Times New Roman"/>
        </w:rPr>
        <w:t>）确定</w:t>
      </w:r>
      <w:r w:rsidRPr="00476887">
        <w:rPr>
          <w:rFonts w:ascii="Times New Roman" w:eastAsia="楷体" w:hAnsi="Times New Roman"/>
        </w:rPr>
        <w:t>.PCA</w:t>
      </w:r>
      <w:r w:rsidRPr="00476887">
        <w:rPr>
          <w:rFonts w:ascii="Times New Roman" w:eastAsia="楷体" w:hAnsi="Times New Roman"/>
        </w:rPr>
        <w:t>：用于前期降维、去噪或输入下游分析（如聚类），不建议直接用于最终可视化。在我们运行</w:t>
      </w:r>
      <w:r w:rsidRPr="00476887">
        <w:rPr>
          <w:rFonts w:ascii="Times New Roman" w:eastAsia="楷体" w:hAnsi="Times New Roman"/>
        </w:rPr>
        <w:t>PCA</w:t>
      </w:r>
      <w:r w:rsidRPr="00476887">
        <w:rPr>
          <w:rFonts w:ascii="Times New Roman" w:eastAsia="楷体" w:hAnsi="Times New Roman"/>
        </w:rPr>
        <w:t>之后，需要决定将哪些主成分（</w:t>
      </w:r>
      <w:r w:rsidRPr="00476887">
        <w:rPr>
          <w:rFonts w:ascii="Times New Roman" w:eastAsia="楷体" w:hAnsi="Times New Roman"/>
        </w:rPr>
        <w:t>PCs</w:t>
      </w:r>
      <w:r w:rsidRPr="00476887">
        <w:rPr>
          <w:rFonts w:ascii="Times New Roman" w:eastAsia="楷体" w:hAnsi="Times New Roman"/>
        </w:rPr>
        <w:t>）纳入下游分析。我们希望纳入足够多的</w:t>
      </w:r>
      <w:r w:rsidRPr="00476887">
        <w:rPr>
          <w:rFonts w:ascii="Times New Roman" w:eastAsia="楷体" w:hAnsi="Times New Roman"/>
        </w:rPr>
        <w:t>PCs</w:t>
      </w:r>
      <w:r w:rsidRPr="00476887">
        <w:rPr>
          <w:rFonts w:ascii="Times New Roman" w:eastAsia="楷体" w:hAnsi="Times New Roman"/>
        </w:rPr>
        <w:t>以保留生物学信号，但又要尽量减少</w:t>
      </w:r>
      <w:r w:rsidRPr="00476887">
        <w:rPr>
          <w:rFonts w:ascii="Times New Roman" w:eastAsia="楷体" w:hAnsi="Times New Roman"/>
        </w:rPr>
        <w:t>PCs</w:t>
      </w:r>
      <w:r w:rsidRPr="00476887">
        <w:rPr>
          <w:rFonts w:ascii="Times New Roman" w:eastAsia="楷体" w:hAnsi="Times New Roman"/>
        </w:rPr>
        <w:t>的数量，以避免数据中的噪声干扰。根据每个主成分解释的方差百分比对主成分进行排名</w:t>
      </w:r>
      <w:r w:rsidRPr="00476887">
        <w:rPr>
          <w:rFonts w:ascii="Times New Roman" w:eastAsia="楷体" w:hAnsi="Times New Roman" w:hint="eastAsia"/>
        </w:rPr>
        <w:t>。</w:t>
      </w:r>
      <w:r w:rsidRPr="00476887">
        <w:rPr>
          <w:rFonts w:ascii="Times New Roman" w:eastAsia="楷体" w:hAnsi="Times New Roman"/>
        </w:rPr>
        <w:t>In this example, we can observe an ‘elbow’ around PC 9-10, suggesting that the majority of true signal is captured in the first 10 PCs.</w:t>
      </w:r>
    </w:p>
    <w:p w14:paraId="36496B2C" w14:textId="7D27F936" w:rsidR="00476887" w:rsidRPr="00476887" w:rsidRDefault="00476887" w:rsidP="00476887">
      <w:pPr>
        <w:rPr>
          <w:rFonts w:ascii="Times New Roman" w:eastAsia="楷体" w:hAnsi="Times New Roman" w:hint="eastAsia"/>
        </w:rPr>
      </w:pPr>
      <w:r w:rsidRPr="00476887">
        <w:rPr>
          <w:rFonts w:ascii="Times New Roman" w:eastAsia="楷体" w:hAnsi="Times New Roman"/>
          <w:noProof/>
          <w14:ligatures w14:val="standardContextual"/>
        </w:rPr>
        <w:drawing>
          <wp:inline distT="0" distB="0" distL="0" distR="0" wp14:anchorId="2748224B" wp14:editId="01222FF5">
            <wp:extent cx="5274310" cy="3164840"/>
            <wp:effectExtent l="0" t="0" r="0" b="0"/>
            <wp:docPr id="1230267551" name="图片 1" descr="形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67551" name="图片 1" descr="形状&#10;&#10;AI 生成的内容可能不正确。"/>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p>
    <w:p w14:paraId="3644590E" w14:textId="77777777" w:rsidR="00476887" w:rsidRPr="00476887" w:rsidRDefault="00476887" w:rsidP="00476887">
      <w:pPr>
        <w:ind w:firstLine="420"/>
        <w:rPr>
          <w:rFonts w:ascii="Times New Roman" w:eastAsia="楷体" w:hAnsi="Times New Roman"/>
        </w:rPr>
      </w:pPr>
      <w:r w:rsidRPr="00476887">
        <w:rPr>
          <w:rFonts w:ascii="Times New Roman" w:eastAsia="楷体" w:hAnsi="Times New Roman"/>
        </w:rPr>
        <w:t>KNN</w:t>
      </w:r>
      <w:r w:rsidRPr="00476887">
        <w:rPr>
          <w:rFonts w:ascii="Times New Roman" w:eastAsia="楷体" w:hAnsi="Times New Roman"/>
        </w:rPr>
        <w:t>图由反映数据集中细胞的节点组成。我们首先在</w:t>
      </w:r>
      <w:r w:rsidRPr="00476887">
        <w:rPr>
          <w:rFonts w:ascii="Times New Roman" w:eastAsia="楷体" w:hAnsi="Times New Roman"/>
        </w:rPr>
        <w:t>PCA</w:t>
      </w:r>
      <w:r w:rsidRPr="00476887">
        <w:rPr>
          <w:rFonts w:ascii="Times New Roman" w:eastAsia="楷体" w:hAnsi="Times New Roman"/>
        </w:rPr>
        <w:t>降维后的表达空间中为所有细胞计算欧几里得距离矩阵，然后将每个细胞与其</w:t>
      </w:r>
      <w:r w:rsidRPr="00476887">
        <w:rPr>
          <w:rFonts w:ascii="Times New Roman" w:eastAsia="楷体" w:hAnsi="Times New Roman"/>
        </w:rPr>
        <w:t>K</w:t>
      </w:r>
      <w:r w:rsidRPr="00476887">
        <w:rPr>
          <w:rFonts w:ascii="Times New Roman" w:eastAsia="楷体" w:hAnsi="Times New Roman"/>
        </w:rPr>
        <w:t>个最相似的细胞连接起来。通常，</w:t>
      </w:r>
      <w:r w:rsidRPr="00476887">
        <w:rPr>
          <w:rFonts w:ascii="Times New Roman" w:eastAsia="楷体" w:hAnsi="Times New Roman"/>
        </w:rPr>
        <w:t>K</w:t>
      </w:r>
      <w:r w:rsidRPr="00476887">
        <w:rPr>
          <w:rFonts w:ascii="Times New Roman" w:eastAsia="楷体" w:hAnsi="Times New Roman"/>
        </w:rPr>
        <w:t>的值根据数据集的大小设置为</w:t>
      </w:r>
      <w:r w:rsidRPr="00476887">
        <w:rPr>
          <w:rFonts w:ascii="Times New Roman" w:eastAsia="楷体" w:hAnsi="Times New Roman"/>
        </w:rPr>
        <w:t>5</w:t>
      </w:r>
      <w:r w:rsidRPr="00476887">
        <w:rPr>
          <w:rFonts w:ascii="Times New Roman" w:eastAsia="楷体" w:hAnsi="Times New Roman"/>
        </w:rPr>
        <w:t>到</w:t>
      </w:r>
      <w:r w:rsidRPr="00476887">
        <w:rPr>
          <w:rFonts w:ascii="Times New Roman" w:eastAsia="楷体" w:hAnsi="Times New Roman"/>
        </w:rPr>
        <w:t>100</w:t>
      </w:r>
      <w:r w:rsidRPr="00476887">
        <w:rPr>
          <w:rFonts w:ascii="Times New Roman" w:eastAsia="楷体" w:hAnsi="Times New Roman"/>
        </w:rPr>
        <w:t>之间。</w:t>
      </w:r>
      <w:r w:rsidRPr="00476887">
        <w:rPr>
          <w:rFonts w:ascii="Times New Roman" w:eastAsia="楷体" w:hAnsi="Times New Roman"/>
        </w:rPr>
        <w:t>KNN</w:t>
      </w:r>
      <w:r w:rsidRPr="00476887">
        <w:rPr>
          <w:rFonts w:ascii="Times New Roman" w:eastAsia="楷体" w:hAnsi="Times New Roman"/>
        </w:rPr>
        <w:t>图通过在图中将表达空间中的密集区域表示为密集连接区域，反映了表达数据的底层拓扑结构</w:t>
      </w:r>
    </w:p>
    <w:p w14:paraId="756A99CF" w14:textId="4DC1301E" w:rsidR="00476887" w:rsidRPr="00476887" w:rsidRDefault="00476887" w:rsidP="00476887">
      <w:pPr>
        <w:rPr>
          <w:rFonts w:ascii="Times New Roman" w:eastAsia="楷体" w:hAnsi="Times New Roman" w:hint="eastAsia"/>
        </w:rPr>
      </w:pPr>
      <w:r w:rsidRPr="00476887">
        <w:rPr>
          <w:rFonts w:ascii="Times New Roman" w:eastAsia="楷体" w:hAnsi="Times New Roman"/>
          <w:noProof/>
          <w14:ligatures w14:val="standardContextual"/>
        </w:rPr>
        <w:drawing>
          <wp:inline distT="0" distB="0" distL="0" distR="0" wp14:anchorId="21857909" wp14:editId="1F2FA037">
            <wp:extent cx="5274310" cy="1096645"/>
            <wp:effectExtent l="0" t="0" r="0" b="0"/>
            <wp:docPr id="2001054484" name="图片 2" descr="卡通人物&#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54484" name="图片 2" descr="卡通人物&#10;&#10;AI 生成的内容可能不正确。"/>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1096645"/>
                    </a:xfrm>
                    <a:prstGeom prst="rect">
                      <a:avLst/>
                    </a:prstGeom>
                  </pic:spPr>
                </pic:pic>
              </a:graphicData>
            </a:graphic>
          </wp:inline>
        </w:drawing>
      </w:r>
    </w:p>
    <w:p w14:paraId="0B5DED27" w14:textId="77777777" w:rsidR="00476887" w:rsidRPr="00476887" w:rsidRDefault="00476887" w:rsidP="00476887">
      <w:pPr>
        <w:ind w:firstLine="420"/>
        <w:rPr>
          <w:rFonts w:ascii="Times New Roman" w:eastAsia="楷体" w:hAnsi="Times New Roman"/>
        </w:rPr>
      </w:pPr>
      <w:r w:rsidRPr="00476887">
        <w:rPr>
          <w:rFonts w:ascii="Times New Roman" w:eastAsia="楷体" w:hAnsi="Times New Roman"/>
        </w:rPr>
        <w:t>UMAP</w:t>
      </w:r>
      <w:r w:rsidRPr="00476887">
        <w:rPr>
          <w:rFonts w:ascii="Times New Roman" w:eastAsia="楷体" w:hAnsi="Times New Roman"/>
        </w:rPr>
        <w:t>（均匀流形逼近和投影）和</w:t>
      </w:r>
      <w:r w:rsidRPr="00476887">
        <w:rPr>
          <w:rFonts w:ascii="Times New Roman" w:eastAsia="楷体" w:hAnsi="Times New Roman"/>
        </w:rPr>
        <w:t>t-SNE</w:t>
      </w:r>
      <w:r w:rsidRPr="00476887">
        <w:rPr>
          <w:rFonts w:ascii="Times New Roman" w:eastAsia="楷体" w:hAnsi="Times New Roman"/>
        </w:rPr>
        <w:t>（</w:t>
      </w:r>
      <w:r w:rsidRPr="00476887">
        <w:rPr>
          <w:rFonts w:ascii="Times New Roman" w:eastAsia="楷体" w:hAnsi="Times New Roman"/>
        </w:rPr>
        <w:t>t-</w:t>
      </w:r>
      <w:r w:rsidRPr="00476887">
        <w:rPr>
          <w:rFonts w:ascii="Times New Roman" w:eastAsia="楷体" w:hAnsi="Times New Roman"/>
        </w:rPr>
        <w:t>随机邻域嵌入）是单细胞数据集常用的降维和可视化技术。</w:t>
      </w:r>
      <w:r w:rsidRPr="00476887">
        <w:rPr>
          <w:rFonts w:ascii="Times New Roman" w:eastAsia="楷体" w:hAnsi="Times New Roman"/>
        </w:rPr>
        <w:t>UMAP</w:t>
      </w:r>
      <w:r w:rsidRPr="00476887">
        <w:rPr>
          <w:rFonts w:ascii="Times New Roman" w:eastAsia="楷体" w:hAnsi="Times New Roman"/>
        </w:rPr>
        <w:t>最近已成为这类分析的黄金标准，因为它具有更高的计算效率并且能更好地保持全局结构；尽管与</w:t>
      </w:r>
      <w:r w:rsidRPr="00476887">
        <w:rPr>
          <w:rFonts w:ascii="Times New Roman" w:eastAsia="楷体" w:hAnsi="Times New Roman"/>
        </w:rPr>
        <w:t>t-SNE</w:t>
      </w:r>
      <w:r w:rsidRPr="00476887">
        <w:rPr>
          <w:rFonts w:ascii="Times New Roman" w:eastAsia="楷体" w:hAnsi="Times New Roman"/>
        </w:rPr>
        <w:t>一样，它在局</w:t>
      </w:r>
      <w:r w:rsidRPr="00476887">
        <w:rPr>
          <w:rFonts w:ascii="Times New Roman" w:eastAsia="楷体" w:hAnsi="Times New Roman"/>
        </w:rPr>
        <w:lastRenderedPageBreak/>
        <w:t>部距离上的准确性可能更高。</w:t>
      </w:r>
      <w:r w:rsidRPr="00476887">
        <w:rPr>
          <w:rFonts w:ascii="Times New Roman" w:eastAsia="楷体" w:hAnsi="Times New Roman"/>
        </w:rPr>
        <w:br/>
        <w:t>Suggest a resolution of 0.4-1.2 for data sets of ~3,000 cells.</w:t>
      </w:r>
    </w:p>
    <w:p w14:paraId="03D19E38" w14:textId="0D79E2F4" w:rsidR="00476887" w:rsidRPr="00476887" w:rsidRDefault="00476887" w:rsidP="00476887">
      <w:pPr>
        <w:rPr>
          <w:rFonts w:ascii="Times New Roman" w:eastAsia="楷体" w:hAnsi="Times New Roman" w:hint="eastAsia"/>
        </w:rPr>
      </w:pPr>
      <w:r w:rsidRPr="00476887">
        <w:rPr>
          <w:rFonts w:ascii="Times New Roman" w:eastAsia="楷体" w:hAnsi="Times New Roman"/>
          <w:noProof/>
          <w14:ligatures w14:val="standardContextual"/>
        </w:rPr>
        <w:drawing>
          <wp:inline distT="0" distB="0" distL="0" distR="0" wp14:anchorId="146444EC" wp14:editId="01907D9D">
            <wp:extent cx="5274310" cy="5274310"/>
            <wp:effectExtent l="0" t="0" r="0" b="0"/>
            <wp:docPr id="22237893" name="图片 3" descr="图表,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7893" name="图片 3" descr="图表, 散点图&#10;&#10;AI 生成的内容可能不正确。"/>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14:paraId="36A01148" w14:textId="18046F21" w:rsidR="00476887" w:rsidRPr="00476887" w:rsidRDefault="00476887" w:rsidP="00476887">
      <w:pPr>
        <w:rPr>
          <w:rFonts w:ascii="Times New Roman" w:eastAsia="楷体" w:hAnsi="Times New Roman" w:hint="eastAsia"/>
        </w:rPr>
      </w:pPr>
      <w:r w:rsidRPr="00476887">
        <w:rPr>
          <w:rFonts w:ascii="Times New Roman" w:eastAsia="楷体" w:hAnsi="Times New Roman"/>
        </w:rPr>
        <w:t>tSNE is slow.</w:t>
      </w:r>
      <w:r>
        <w:rPr>
          <w:rFonts w:ascii="Times New Roman" w:eastAsia="楷体" w:hAnsi="Times New Roman" w:hint="eastAsia"/>
        </w:rPr>
        <w:t xml:space="preserve"> </w:t>
      </w:r>
      <w:r w:rsidRPr="00476887">
        <w:rPr>
          <w:rFonts w:ascii="Times New Roman" w:eastAsia="楷体" w:hAnsi="Times New Roman"/>
        </w:rPr>
        <w:t>tSNE doesn’t scale well to large numbers of cells (10k+)</w:t>
      </w:r>
      <w:r w:rsidRPr="00476887">
        <w:rPr>
          <w:rFonts w:ascii="Times New Roman" w:eastAsia="楷体" w:hAnsi="Times New Roman"/>
        </w:rPr>
        <w:br/>
        <w:t>– UMAP is quite a bit quicker than tSNE</w:t>
      </w:r>
      <w:r w:rsidRPr="00476887">
        <w:rPr>
          <w:rFonts w:ascii="Times New Roman" w:eastAsia="楷体" w:hAnsi="Times New Roman"/>
        </w:rPr>
        <w:br/>
        <w:t>– UMAP can preserve more global structure than tSNE*</w:t>
      </w:r>
      <w:r w:rsidRPr="00476887">
        <w:rPr>
          <w:rFonts w:ascii="Times New Roman" w:eastAsia="楷体" w:hAnsi="Times New Roman"/>
        </w:rPr>
        <w:br/>
        <w:t>– UMAP can run on raw data without PCA preprocessing*</w:t>
      </w:r>
      <w:r w:rsidRPr="00476887">
        <w:rPr>
          <w:rFonts w:ascii="Times New Roman" w:eastAsia="楷体" w:hAnsi="Times New Roman"/>
        </w:rPr>
        <w:br/>
        <w:t>– UMAP can allow new data to be added to an existing projection</w:t>
      </w:r>
    </w:p>
    <w:sectPr w:rsidR="00476887" w:rsidRPr="0047688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楷体">
    <w:altName w:val="KaiTi"/>
    <w:panose1 w:val="02010609060101010101"/>
    <w:charset w:val="86"/>
    <w:family w:val="modern"/>
    <w:pitch w:val="fixed"/>
    <w:sig w:usb0="800002BF" w:usb1="38CF7CFA" w:usb2="00000016" w:usb3="00000000" w:csb0="00040001" w:csb1="00000000"/>
  </w:font>
  <w:font w:name="Times New Roman (正文 CS 字体)">
    <w:panose1 w:val="020B0604020202020204"/>
    <w:charset w:val="86"/>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1484A"/>
    <w:multiLevelType w:val="multilevel"/>
    <w:tmpl w:val="F9D88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03410D"/>
    <w:multiLevelType w:val="multilevel"/>
    <w:tmpl w:val="B33A5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E26D52"/>
    <w:multiLevelType w:val="hybridMultilevel"/>
    <w:tmpl w:val="624A435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D400D97"/>
    <w:multiLevelType w:val="multilevel"/>
    <w:tmpl w:val="206C1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8E3043"/>
    <w:multiLevelType w:val="multilevel"/>
    <w:tmpl w:val="01B84F5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rPr>
        <w:rFonts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19767AF6"/>
    <w:multiLevelType w:val="hybridMultilevel"/>
    <w:tmpl w:val="227C558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1C1A5926"/>
    <w:multiLevelType w:val="multilevel"/>
    <w:tmpl w:val="1938D77A"/>
    <w:lvl w:ilvl="0">
      <w:start w:val="1"/>
      <w:numFmt w:val="bullet"/>
      <w:lvlText w:val=""/>
      <w:lvlJc w:val="left"/>
      <w:pPr>
        <w:ind w:left="800" w:hanging="440"/>
      </w:pPr>
      <w:rPr>
        <w:rFonts w:ascii="Wingdings" w:hAnsi="Wingdings"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913BAC"/>
    <w:multiLevelType w:val="multilevel"/>
    <w:tmpl w:val="1938D77A"/>
    <w:lvl w:ilvl="0">
      <w:start w:val="1"/>
      <w:numFmt w:val="bullet"/>
      <w:lvlText w:val=""/>
      <w:lvlJc w:val="left"/>
      <w:pPr>
        <w:ind w:left="800" w:hanging="440"/>
      </w:pPr>
      <w:rPr>
        <w:rFonts w:ascii="Wingdings" w:hAnsi="Wingdings"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A01979"/>
    <w:multiLevelType w:val="hybridMultilevel"/>
    <w:tmpl w:val="DA1ABF06"/>
    <w:lvl w:ilvl="0" w:tplc="B254D72A">
      <w:numFmt w:val="bullet"/>
      <w:lvlText w:val="•"/>
      <w:lvlJc w:val="left"/>
      <w:pPr>
        <w:ind w:left="360" w:hanging="360"/>
      </w:pPr>
      <w:rPr>
        <w:rFonts w:ascii="Helvetica" w:eastAsia="宋体" w:hAnsi="Helvetica" w:cs="宋体"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26D573AB"/>
    <w:multiLevelType w:val="hybridMultilevel"/>
    <w:tmpl w:val="9B22CD1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28BC7013"/>
    <w:multiLevelType w:val="multilevel"/>
    <w:tmpl w:val="D6F2A1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6C3CF4"/>
    <w:multiLevelType w:val="multilevel"/>
    <w:tmpl w:val="147AF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805082"/>
    <w:multiLevelType w:val="multilevel"/>
    <w:tmpl w:val="1938D77A"/>
    <w:lvl w:ilvl="0">
      <w:start w:val="1"/>
      <w:numFmt w:val="bullet"/>
      <w:lvlText w:val=""/>
      <w:lvlJc w:val="left"/>
      <w:pPr>
        <w:ind w:left="800" w:hanging="440"/>
      </w:pPr>
      <w:rPr>
        <w:rFonts w:ascii="Wingdings" w:hAnsi="Wingdings"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4C0AE5"/>
    <w:multiLevelType w:val="multilevel"/>
    <w:tmpl w:val="300804FA"/>
    <w:lvl w:ilvl="0">
      <w:start w:val="2"/>
      <w:numFmt w:val="decimal"/>
      <w:lvlText w:val="%1."/>
      <w:lvlJc w:val="left"/>
      <w:pPr>
        <w:ind w:left="440" w:hanging="440"/>
      </w:pPr>
      <w:rPr>
        <w:rFonts w:hint="eastAsia"/>
      </w:rPr>
    </w:lvl>
    <w:lvl w:ilvl="1">
      <w:start w:val="1"/>
      <w:numFmt w:val="decimal"/>
      <w:lvlText w:val="%2."/>
      <w:lvlJc w:val="left"/>
      <w:pPr>
        <w:tabs>
          <w:tab w:val="num" w:pos="1080"/>
        </w:tabs>
        <w:ind w:left="1080" w:hanging="360"/>
      </w:pPr>
      <w:rPr>
        <w:rFonts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2FC85314"/>
    <w:multiLevelType w:val="multilevel"/>
    <w:tmpl w:val="F1DC1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CC54DF"/>
    <w:multiLevelType w:val="hybridMultilevel"/>
    <w:tmpl w:val="87E4BA78"/>
    <w:lvl w:ilvl="0" w:tplc="B254D72A">
      <w:numFmt w:val="bullet"/>
      <w:lvlText w:val="•"/>
      <w:lvlJc w:val="left"/>
      <w:pPr>
        <w:ind w:left="360" w:hanging="360"/>
      </w:pPr>
      <w:rPr>
        <w:rFonts w:ascii="Helvetica" w:eastAsia="宋体" w:hAnsi="Helvetica" w:cs="宋体"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3462438C"/>
    <w:multiLevelType w:val="multilevel"/>
    <w:tmpl w:val="0D68C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931327"/>
    <w:multiLevelType w:val="hybridMultilevel"/>
    <w:tmpl w:val="D9589394"/>
    <w:lvl w:ilvl="0" w:tplc="B254D72A">
      <w:numFmt w:val="bullet"/>
      <w:lvlText w:val="•"/>
      <w:lvlJc w:val="left"/>
      <w:pPr>
        <w:ind w:left="360" w:hanging="360"/>
      </w:pPr>
      <w:rPr>
        <w:rFonts w:ascii="Helvetica" w:eastAsia="宋体" w:hAnsi="Helvetica" w:cs="宋体"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3A730503"/>
    <w:multiLevelType w:val="multilevel"/>
    <w:tmpl w:val="01B84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273066"/>
    <w:multiLevelType w:val="multilevel"/>
    <w:tmpl w:val="01B84F5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rPr>
        <w:rFonts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455E62C6"/>
    <w:multiLevelType w:val="hybridMultilevel"/>
    <w:tmpl w:val="78FA8D3C"/>
    <w:lvl w:ilvl="0" w:tplc="1738207E">
      <w:start w:val="1"/>
      <w:numFmt w:val="decimal"/>
      <w:lvlText w:val="%1."/>
      <w:lvlJc w:val="left"/>
      <w:pPr>
        <w:ind w:left="440" w:hanging="440"/>
      </w:pPr>
      <w:rPr>
        <w:rFonts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48605578"/>
    <w:multiLevelType w:val="multilevel"/>
    <w:tmpl w:val="3216040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48B61FB7"/>
    <w:multiLevelType w:val="multilevel"/>
    <w:tmpl w:val="CCCC6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2F70F0"/>
    <w:multiLevelType w:val="hybridMultilevel"/>
    <w:tmpl w:val="B12EC6E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50A05DCB"/>
    <w:multiLevelType w:val="hybridMultilevel"/>
    <w:tmpl w:val="E93C282C"/>
    <w:lvl w:ilvl="0" w:tplc="B254D72A">
      <w:numFmt w:val="bullet"/>
      <w:lvlText w:val="•"/>
      <w:lvlJc w:val="left"/>
      <w:pPr>
        <w:ind w:left="360" w:hanging="360"/>
      </w:pPr>
      <w:rPr>
        <w:rFonts w:ascii="Helvetica" w:eastAsia="宋体" w:hAnsi="Helvetica" w:cs="宋体"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550F63E5"/>
    <w:multiLevelType w:val="multilevel"/>
    <w:tmpl w:val="1A7080A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60864B7A"/>
    <w:multiLevelType w:val="multilevel"/>
    <w:tmpl w:val="995CE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6248B6"/>
    <w:multiLevelType w:val="multilevel"/>
    <w:tmpl w:val="3EA82F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774080"/>
    <w:multiLevelType w:val="hybridMultilevel"/>
    <w:tmpl w:val="4B903D9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9" w15:restartNumberingAfterBreak="0">
    <w:nsid w:val="6D7B4B82"/>
    <w:multiLevelType w:val="hybridMultilevel"/>
    <w:tmpl w:val="D95ADDD0"/>
    <w:lvl w:ilvl="0" w:tplc="B254D72A">
      <w:numFmt w:val="bullet"/>
      <w:lvlText w:val="•"/>
      <w:lvlJc w:val="left"/>
      <w:pPr>
        <w:ind w:left="404" w:hanging="360"/>
      </w:pPr>
      <w:rPr>
        <w:rFonts w:ascii="Helvetica" w:eastAsia="宋体" w:hAnsi="Helvetica" w:cs="宋体" w:hint="default"/>
      </w:rPr>
    </w:lvl>
    <w:lvl w:ilvl="1" w:tplc="04090003" w:tentative="1">
      <w:start w:val="1"/>
      <w:numFmt w:val="bullet"/>
      <w:lvlText w:val=""/>
      <w:lvlJc w:val="left"/>
      <w:pPr>
        <w:ind w:left="924" w:hanging="440"/>
      </w:pPr>
      <w:rPr>
        <w:rFonts w:ascii="Wingdings" w:hAnsi="Wingdings" w:hint="default"/>
      </w:rPr>
    </w:lvl>
    <w:lvl w:ilvl="2" w:tplc="04090005" w:tentative="1">
      <w:start w:val="1"/>
      <w:numFmt w:val="bullet"/>
      <w:lvlText w:val=""/>
      <w:lvlJc w:val="left"/>
      <w:pPr>
        <w:ind w:left="1364" w:hanging="440"/>
      </w:pPr>
      <w:rPr>
        <w:rFonts w:ascii="Wingdings" w:hAnsi="Wingdings" w:hint="default"/>
      </w:rPr>
    </w:lvl>
    <w:lvl w:ilvl="3" w:tplc="04090001" w:tentative="1">
      <w:start w:val="1"/>
      <w:numFmt w:val="bullet"/>
      <w:lvlText w:val=""/>
      <w:lvlJc w:val="left"/>
      <w:pPr>
        <w:ind w:left="1804" w:hanging="440"/>
      </w:pPr>
      <w:rPr>
        <w:rFonts w:ascii="Wingdings" w:hAnsi="Wingdings" w:hint="default"/>
      </w:rPr>
    </w:lvl>
    <w:lvl w:ilvl="4" w:tplc="04090003" w:tentative="1">
      <w:start w:val="1"/>
      <w:numFmt w:val="bullet"/>
      <w:lvlText w:val=""/>
      <w:lvlJc w:val="left"/>
      <w:pPr>
        <w:ind w:left="2244" w:hanging="440"/>
      </w:pPr>
      <w:rPr>
        <w:rFonts w:ascii="Wingdings" w:hAnsi="Wingdings" w:hint="default"/>
      </w:rPr>
    </w:lvl>
    <w:lvl w:ilvl="5" w:tplc="04090005" w:tentative="1">
      <w:start w:val="1"/>
      <w:numFmt w:val="bullet"/>
      <w:lvlText w:val=""/>
      <w:lvlJc w:val="left"/>
      <w:pPr>
        <w:ind w:left="2684" w:hanging="440"/>
      </w:pPr>
      <w:rPr>
        <w:rFonts w:ascii="Wingdings" w:hAnsi="Wingdings" w:hint="default"/>
      </w:rPr>
    </w:lvl>
    <w:lvl w:ilvl="6" w:tplc="04090001" w:tentative="1">
      <w:start w:val="1"/>
      <w:numFmt w:val="bullet"/>
      <w:lvlText w:val=""/>
      <w:lvlJc w:val="left"/>
      <w:pPr>
        <w:ind w:left="3124" w:hanging="440"/>
      </w:pPr>
      <w:rPr>
        <w:rFonts w:ascii="Wingdings" w:hAnsi="Wingdings" w:hint="default"/>
      </w:rPr>
    </w:lvl>
    <w:lvl w:ilvl="7" w:tplc="04090003" w:tentative="1">
      <w:start w:val="1"/>
      <w:numFmt w:val="bullet"/>
      <w:lvlText w:val=""/>
      <w:lvlJc w:val="left"/>
      <w:pPr>
        <w:ind w:left="3564" w:hanging="440"/>
      </w:pPr>
      <w:rPr>
        <w:rFonts w:ascii="Wingdings" w:hAnsi="Wingdings" w:hint="default"/>
      </w:rPr>
    </w:lvl>
    <w:lvl w:ilvl="8" w:tplc="04090005" w:tentative="1">
      <w:start w:val="1"/>
      <w:numFmt w:val="bullet"/>
      <w:lvlText w:val=""/>
      <w:lvlJc w:val="left"/>
      <w:pPr>
        <w:ind w:left="4004" w:hanging="440"/>
      </w:pPr>
      <w:rPr>
        <w:rFonts w:ascii="Wingdings" w:hAnsi="Wingdings" w:hint="default"/>
      </w:rPr>
    </w:lvl>
  </w:abstractNum>
  <w:abstractNum w:abstractNumId="30" w15:restartNumberingAfterBreak="0">
    <w:nsid w:val="70BC253B"/>
    <w:multiLevelType w:val="multilevel"/>
    <w:tmpl w:val="1938D77A"/>
    <w:lvl w:ilvl="0">
      <w:start w:val="1"/>
      <w:numFmt w:val="bullet"/>
      <w:lvlText w:val=""/>
      <w:lvlJc w:val="left"/>
      <w:pPr>
        <w:ind w:left="800" w:hanging="440"/>
      </w:pPr>
      <w:rPr>
        <w:rFonts w:ascii="Wingdings" w:hAnsi="Wingdings"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110365D"/>
    <w:multiLevelType w:val="multilevel"/>
    <w:tmpl w:val="963AD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1FE7298"/>
    <w:multiLevelType w:val="multilevel"/>
    <w:tmpl w:val="01B84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3710F13"/>
    <w:multiLevelType w:val="multilevel"/>
    <w:tmpl w:val="F698A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3C59A9"/>
    <w:multiLevelType w:val="multilevel"/>
    <w:tmpl w:val="01B84F5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rPr>
        <w:rFonts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15:restartNumberingAfterBreak="0">
    <w:nsid w:val="7DBD0D7B"/>
    <w:multiLevelType w:val="multilevel"/>
    <w:tmpl w:val="CC2E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3291706">
    <w:abstractNumId w:val="0"/>
  </w:num>
  <w:num w:numId="2" w16cid:durableId="2099518161">
    <w:abstractNumId w:val="2"/>
  </w:num>
  <w:num w:numId="3" w16cid:durableId="1001662670">
    <w:abstractNumId w:val="31"/>
  </w:num>
  <w:num w:numId="4" w16cid:durableId="349381245">
    <w:abstractNumId w:val="20"/>
  </w:num>
  <w:num w:numId="5" w16cid:durableId="1639720239">
    <w:abstractNumId w:val="9"/>
  </w:num>
  <w:num w:numId="6" w16cid:durableId="1173034697">
    <w:abstractNumId w:val="23"/>
  </w:num>
  <w:num w:numId="7" w16cid:durableId="1545869667">
    <w:abstractNumId w:val="5"/>
  </w:num>
  <w:num w:numId="8" w16cid:durableId="1026058669">
    <w:abstractNumId w:val="28"/>
  </w:num>
  <w:num w:numId="9" w16cid:durableId="1480342303">
    <w:abstractNumId w:val="24"/>
  </w:num>
  <w:num w:numId="10" w16cid:durableId="1499468741">
    <w:abstractNumId w:val="15"/>
  </w:num>
  <w:num w:numId="11" w16cid:durableId="741566770">
    <w:abstractNumId w:val="29"/>
  </w:num>
  <w:num w:numId="12" w16cid:durableId="1341081011">
    <w:abstractNumId w:val="17"/>
  </w:num>
  <w:num w:numId="13" w16cid:durableId="985470564">
    <w:abstractNumId w:val="8"/>
  </w:num>
  <w:num w:numId="14" w16cid:durableId="219948145">
    <w:abstractNumId w:val="18"/>
  </w:num>
  <w:num w:numId="15" w16cid:durableId="1959288267">
    <w:abstractNumId w:val="32"/>
  </w:num>
  <w:num w:numId="16" w16cid:durableId="1868251107">
    <w:abstractNumId w:val="3"/>
  </w:num>
  <w:num w:numId="17" w16cid:durableId="1134911021">
    <w:abstractNumId w:val="27"/>
  </w:num>
  <w:num w:numId="18" w16cid:durableId="708650832">
    <w:abstractNumId w:val="33"/>
  </w:num>
  <w:num w:numId="19" w16cid:durableId="2143501294">
    <w:abstractNumId w:val="30"/>
  </w:num>
  <w:num w:numId="20" w16cid:durableId="1233471248">
    <w:abstractNumId w:val="22"/>
  </w:num>
  <w:num w:numId="21" w16cid:durableId="1739397348">
    <w:abstractNumId w:val="19"/>
  </w:num>
  <w:num w:numId="22" w16cid:durableId="745611661">
    <w:abstractNumId w:val="4"/>
  </w:num>
  <w:num w:numId="23" w16cid:durableId="1578711704">
    <w:abstractNumId w:val="12"/>
  </w:num>
  <w:num w:numId="24" w16cid:durableId="1402366636">
    <w:abstractNumId w:val="6"/>
  </w:num>
  <w:num w:numId="25" w16cid:durableId="1701084102">
    <w:abstractNumId w:val="7"/>
  </w:num>
  <w:num w:numId="26" w16cid:durableId="2023387208">
    <w:abstractNumId w:val="34"/>
  </w:num>
  <w:num w:numId="27" w16cid:durableId="354117008">
    <w:abstractNumId w:val="13"/>
  </w:num>
  <w:num w:numId="28" w16cid:durableId="2143031792">
    <w:abstractNumId w:val="1"/>
  </w:num>
  <w:num w:numId="29" w16cid:durableId="1612397046">
    <w:abstractNumId w:val="21"/>
  </w:num>
  <w:num w:numId="30" w16cid:durableId="1713111487">
    <w:abstractNumId w:val="26"/>
  </w:num>
  <w:num w:numId="31" w16cid:durableId="743186033">
    <w:abstractNumId w:val="16"/>
  </w:num>
  <w:num w:numId="32" w16cid:durableId="25570206">
    <w:abstractNumId w:val="35"/>
  </w:num>
  <w:num w:numId="33" w16cid:durableId="1477527066">
    <w:abstractNumId w:val="25"/>
  </w:num>
  <w:num w:numId="34" w16cid:durableId="946237183">
    <w:abstractNumId w:val="11"/>
  </w:num>
  <w:num w:numId="35" w16cid:durableId="1304851714">
    <w:abstractNumId w:val="10"/>
  </w:num>
  <w:num w:numId="36" w16cid:durableId="15808117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909"/>
    <w:rsid w:val="000E7FC2"/>
    <w:rsid w:val="00145AE0"/>
    <w:rsid w:val="001F5CA0"/>
    <w:rsid w:val="00230262"/>
    <w:rsid w:val="00247634"/>
    <w:rsid w:val="00275909"/>
    <w:rsid w:val="00287E3F"/>
    <w:rsid w:val="00291375"/>
    <w:rsid w:val="002B3098"/>
    <w:rsid w:val="003518FD"/>
    <w:rsid w:val="00366325"/>
    <w:rsid w:val="003E67F9"/>
    <w:rsid w:val="0047338F"/>
    <w:rsid w:val="00476887"/>
    <w:rsid w:val="004F6C59"/>
    <w:rsid w:val="00567700"/>
    <w:rsid w:val="005A1ECA"/>
    <w:rsid w:val="006030C0"/>
    <w:rsid w:val="00696EF1"/>
    <w:rsid w:val="006F1A9C"/>
    <w:rsid w:val="007133A8"/>
    <w:rsid w:val="007D58DE"/>
    <w:rsid w:val="007E4F9D"/>
    <w:rsid w:val="008524AF"/>
    <w:rsid w:val="008B3E76"/>
    <w:rsid w:val="008D1EED"/>
    <w:rsid w:val="008D22BD"/>
    <w:rsid w:val="00975EF4"/>
    <w:rsid w:val="00A00114"/>
    <w:rsid w:val="00A21675"/>
    <w:rsid w:val="00A53F72"/>
    <w:rsid w:val="00AA4DA2"/>
    <w:rsid w:val="00AC55DB"/>
    <w:rsid w:val="00AE7056"/>
    <w:rsid w:val="00B13E73"/>
    <w:rsid w:val="00BC41AA"/>
    <w:rsid w:val="00BE1793"/>
    <w:rsid w:val="00C001E7"/>
    <w:rsid w:val="00C25674"/>
    <w:rsid w:val="00CE6EBA"/>
    <w:rsid w:val="00D42E8D"/>
    <w:rsid w:val="00D97FB8"/>
    <w:rsid w:val="00DF0D70"/>
    <w:rsid w:val="00DF273F"/>
    <w:rsid w:val="00E16338"/>
    <w:rsid w:val="00E55C6D"/>
    <w:rsid w:val="00EC300B"/>
    <w:rsid w:val="00ED7707"/>
    <w:rsid w:val="00EF553F"/>
    <w:rsid w:val="00FC3378"/>
    <w:rsid w:val="00FC432F"/>
    <w:rsid w:val="00FE38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D1B7A"/>
  <w15:chartTrackingRefBased/>
  <w15:docId w15:val="{765A91B9-186F-7C41-9DA7-CE9E65C40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4DA2"/>
    <w:pPr>
      <w:spacing w:after="0" w:line="240" w:lineRule="auto"/>
    </w:pPr>
    <w:rPr>
      <w:rFonts w:ascii="宋体" w:eastAsia="宋体" w:hAnsi="宋体" w:cs="宋体"/>
      <w:kern w:val="0"/>
      <w:sz w:val="24"/>
      <w14:ligatures w14:val="none"/>
    </w:rPr>
  </w:style>
  <w:style w:type="paragraph" w:styleId="1">
    <w:name w:val="heading 1"/>
    <w:basedOn w:val="a"/>
    <w:next w:val="a"/>
    <w:link w:val="10"/>
    <w:uiPriority w:val="9"/>
    <w:qFormat/>
    <w:rsid w:val="00275909"/>
    <w:pPr>
      <w:keepNext/>
      <w:keepLines/>
      <w:widowControl w:val="0"/>
      <w:spacing w:before="480" w:after="80" w:line="278" w:lineRule="auto"/>
      <w:outlineLvl w:val="0"/>
    </w:pPr>
    <w:rPr>
      <w:rFonts w:asciiTheme="majorHAnsi" w:eastAsiaTheme="majorEastAsia" w:hAnsiTheme="majorHAnsi" w:cstheme="majorBidi"/>
      <w:color w:val="0F4761" w:themeColor="accent1" w:themeShade="BF"/>
      <w:kern w:val="2"/>
      <w:sz w:val="48"/>
      <w:szCs w:val="48"/>
      <w14:ligatures w14:val="standardContextual"/>
    </w:rPr>
  </w:style>
  <w:style w:type="paragraph" w:styleId="2">
    <w:name w:val="heading 2"/>
    <w:basedOn w:val="a"/>
    <w:next w:val="a"/>
    <w:link w:val="20"/>
    <w:uiPriority w:val="9"/>
    <w:unhideWhenUsed/>
    <w:qFormat/>
    <w:rsid w:val="00275909"/>
    <w:pPr>
      <w:keepNext/>
      <w:keepLines/>
      <w:widowControl w:val="0"/>
      <w:spacing w:before="160" w:after="80" w:line="278" w:lineRule="auto"/>
      <w:outlineLvl w:val="1"/>
    </w:pPr>
    <w:rPr>
      <w:rFonts w:asciiTheme="majorHAnsi" w:eastAsiaTheme="majorEastAsia" w:hAnsiTheme="majorHAnsi" w:cstheme="majorBidi"/>
      <w:color w:val="0F4761" w:themeColor="accent1" w:themeShade="BF"/>
      <w:kern w:val="2"/>
      <w:sz w:val="40"/>
      <w:szCs w:val="40"/>
      <w14:ligatures w14:val="standardContextual"/>
    </w:rPr>
  </w:style>
  <w:style w:type="paragraph" w:styleId="3">
    <w:name w:val="heading 3"/>
    <w:basedOn w:val="a"/>
    <w:next w:val="a"/>
    <w:link w:val="30"/>
    <w:uiPriority w:val="9"/>
    <w:unhideWhenUsed/>
    <w:qFormat/>
    <w:rsid w:val="00275909"/>
    <w:pPr>
      <w:keepNext/>
      <w:keepLines/>
      <w:widowControl w:val="0"/>
      <w:spacing w:before="160" w:after="80" w:line="278" w:lineRule="auto"/>
      <w:outlineLvl w:val="2"/>
    </w:pPr>
    <w:rPr>
      <w:rFonts w:asciiTheme="majorHAnsi" w:eastAsiaTheme="majorEastAsia" w:hAnsiTheme="majorHAnsi" w:cstheme="majorBidi"/>
      <w:color w:val="0F4761" w:themeColor="accent1" w:themeShade="BF"/>
      <w:kern w:val="2"/>
      <w:sz w:val="32"/>
      <w:szCs w:val="32"/>
      <w14:ligatures w14:val="standardContextual"/>
    </w:rPr>
  </w:style>
  <w:style w:type="paragraph" w:styleId="4">
    <w:name w:val="heading 4"/>
    <w:basedOn w:val="a"/>
    <w:next w:val="a"/>
    <w:link w:val="40"/>
    <w:uiPriority w:val="9"/>
    <w:semiHidden/>
    <w:unhideWhenUsed/>
    <w:qFormat/>
    <w:rsid w:val="00275909"/>
    <w:pPr>
      <w:keepNext/>
      <w:keepLines/>
      <w:widowControl w:val="0"/>
      <w:spacing w:before="80" w:after="40" w:line="278" w:lineRule="auto"/>
      <w:outlineLvl w:val="3"/>
    </w:pPr>
    <w:rPr>
      <w:rFonts w:asciiTheme="minorHAnsi" w:eastAsiaTheme="minorEastAsia" w:hAnsiTheme="minorHAnsi" w:cstheme="majorBidi"/>
      <w:color w:val="0F4761" w:themeColor="accent1" w:themeShade="BF"/>
      <w:kern w:val="2"/>
      <w:sz w:val="28"/>
      <w:szCs w:val="28"/>
      <w14:ligatures w14:val="standardContextual"/>
    </w:rPr>
  </w:style>
  <w:style w:type="paragraph" w:styleId="5">
    <w:name w:val="heading 5"/>
    <w:basedOn w:val="a"/>
    <w:next w:val="a"/>
    <w:link w:val="50"/>
    <w:uiPriority w:val="9"/>
    <w:semiHidden/>
    <w:unhideWhenUsed/>
    <w:qFormat/>
    <w:rsid w:val="00275909"/>
    <w:pPr>
      <w:keepNext/>
      <w:keepLines/>
      <w:spacing w:before="80" w:after="40"/>
      <w:outlineLvl w:val="4"/>
    </w:pPr>
    <w:rPr>
      <w:rFonts w:cstheme="majorBidi"/>
      <w:color w:val="0F4761" w:themeColor="accent1" w:themeShade="BF"/>
    </w:rPr>
  </w:style>
  <w:style w:type="paragraph" w:styleId="6">
    <w:name w:val="heading 6"/>
    <w:basedOn w:val="a"/>
    <w:next w:val="a"/>
    <w:link w:val="60"/>
    <w:uiPriority w:val="9"/>
    <w:semiHidden/>
    <w:unhideWhenUsed/>
    <w:qFormat/>
    <w:rsid w:val="00275909"/>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275909"/>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275909"/>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275909"/>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75909"/>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275909"/>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275909"/>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275909"/>
    <w:rPr>
      <w:rFonts w:cstheme="majorBidi"/>
      <w:color w:val="0F4761" w:themeColor="accent1" w:themeShade="BF"/>
      <w:sz w:val="28"/>
      <w:szCs w:val="28"/>
    </w:rPr>
  </w:style>
  <w:style w:type="character" w:customStyle="1" w:styleId="50">
    <w:name w:val="标题 5 字符"/>
    <w:basedOn w:val="a0"/>
    <w:link w:val="5"/>
    <w:uiPriority w:val="9"/>
    <w:semiHidden/>
    <w:rsid w:val="00275909"/>
    <w:rPr>
      <w:rFonts w:cstheme="majorBidi"/>
      <w:color w:val="0F4761" w:themeColor="accent1" w:themeShade="BF"/>
      <w:sz w:val="24"/>
    </w:rPr>
  </w:style>
  <w:style w:type="character" w:customStyle="1" w:styleId="60">
    <w:name w:val="标题 6 字符"/>
    <w:basedOn w:val="a0"/>
    <w:link w:val="6"/>
    <w:uiPriority w:val="9"/>
    <w:semiHidden/>
    <w:rsid w:val="00275909"/>
    <w:rPr>
      <w:rFonts w:cstheme="majorBidi"/>
      <w:b/>
      <w:bCs/>
      <w:color w:val="0F4761" w:themeColor="accent1" w:themeShade="BF"/>
    </w:rPr>
  </w:style>
  <w:style w:type="character" w:customStyle="1" w:styleId="70">
    <w:name w:val="标题 7 字符"/>
    <w:basedOn w:val="a0"/>
    <w:link w:val="7"/>
    <w:uiPriority w:val="9"/>
    <w:semiHidden/>
    <w:rsid w:val="00275909"/>
    <w:rPr>
      <w:rFonts w:cstheme="majorBidi"/>
      <w:b/>
      <w:bCs/>
      <w:color w:val="595959" w:themeColor="text1" w:themeTint="A6"/>
    </w:rPr>
  </w:style>
  <w:style w:type="character" w:customStyle="1" w:styleId="80">
    <w:name w:val="标题 8 字符"/>
    <w:basedOn w:val="a0"/>
    <w:link w:val="8"/>
    <w:uiPriority w:val="9"/>
    <w:semiHidden/>
    <w:rsid w:val="00275909"/>
    <w:rPr>
      <w:rFonts w:cstheme="majorBidi"/>
      <w:color w:val="595959" w:themeColor="text1" w:themeTint="A6"/>
    </w:rPr>
  </w:style>
  <w:style w:type="character" w:customStyle="1" w:styleId="90">
    <w:name w:val="标题 9 字符"/>
    <w:basedOn w:val="a0"/>
    <w:link w:val="9"/>
    <w:uiPriority w:val="9"/>
    <w:semiHidden/>
    <w:rsid w:val="00275909"/>
    <w:rPr>
      <w:rFonts w:eastAsiaTheme="majorEastAsia" w:cstheme="majorBidi"/>
      <w:color w:val="595959" w:themeColor="text1" w:themeTint="A6"/>
    </w:rPr>
  </w:style>
  <w:style w:type="paragraph" w:styleId="a3">
    <w:name w:val="Title"/>
    <w:basedOn w:val="a"/>
    <w:next w:val="a"/>
    <w:link w:val="a4"/>
    <w:uiPriority w:val="10"/>
    <w:qFormat/>
    <w:rsid w:val="00275909"/>
    <w:pPr>
      <w:widowControl w:val="0"/>
      <w:spacing w:after="80"/>
      <w:contextualSpacing/>
      <w:jc w:val="center"/>
    </w:pPr>
    <w:rPr>
      <w:rFonts w:asciiTheme="majorHAnsi" w:eastAsiaTheme="majorEastAsia" w:hAnsiTheme="majorHAnsi" w:cstheme="majorBidi"/>
      <w:spacing w:val="-10"/>
      <w:kern w:val="28"/>
      <w:sz w:val="56"/>
      <w:szCs w:val="56"/>
      <w14:ligatures w14:val="standardContextual"/>
    </w:rPr>
  </w:style>
  <w:style w:type="character" w:customStyle="1" w:styleId="a4">
    <w:name w:val="标题 字符"/>
    <w:basedOn w:val="a0"/>
    <w:link w:val="a3"/>
    <w:uiPriority w:val="10"/>
    <w:rsid w:val="0027590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75909"/>
    <w:pPr>
      <w:widowControl w:val="0"/>
      <w:numPr>
        <w:ilvl w:val="1"/>
      </w:numPr>
      <w:spacing w:after="160" w:line="278" w:lineRule="auto"/>
      <w:jc w:val="center"/>
    </w:pPr>
    <w:rPr>
      <w:rFonts w:asciiTheme="majorHAnsi" w:eastAsiaTheme="majorEastAsia" w:hAnsiTheme="majorHAnsi" w:cstheme="majorBidi"/>
      <w:color w:val="595959" w:themeColor="text1" w:themeTint="A6"/>
      <w:spacing w:val="15"/>
      <w:kern w:val="2"/>
      <w:sz w:val="28"/>
      <w:szCs w:val="28"/>
      <w14:ligatures w14:val="standardContextual"/>
    </w:rPr>
  </w:style>
  <w:style w:type="character" w:customStyle="1" w:styleId="a6">
    <w:name w:val="副标题 字符"/>
    <w:basedOn w:val="a0"/>
    <w:link w:val="a5"/>
    <w:uiPriority w:val="11"/>
    <w:rsid w:val="0027590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75909"/>
    <w:pPr>
      <w:widowControl w:val="0"/>
      <w:spacing w:before="160" w:after="160" w:line="278" w:lineRule="auto"/>
      <w:jc w:val="center"/>
    </w:pPr>
    <w:rPr>
      <w:rFonts w:asciiTheme="minorHAnsi" w:eastAsiaTheme="minorEastAsia" w:hAnsiTheme="minorHAnsi" w:cstheme="minorBidi"/>
      <w:i/>
      <w:iCs/>
      <w:color w:val="404040" w:themeColor="text1" w:themeTint="BF"/>
      <w:kern w:val="2"/>
      <w:sz w:val="22"/>
      <w14:ligatures w14:val="standardContextual"/>
    </w:rPr>
  </w:style>
  <w:style w:type="character" w:customStyle="1" w:styleId="a8">
    <w:name w:val="引用 字符"/>
    <w:basedOn w:val="a0"/>
    <w:link w:val="a7"/>
    <w:uiPriority w:val="29"/>
    <w:rsid w:val="00275909"/>
    <w:rPr>
      <w:i/>
      <w:iCs/>
      <w:color w:val="404040" w:themeColor="text1" w:themeTint="BF"/>
    </w:rPr>
  </w:style>
  <w:style w:type="paragraph" w:styleId="a9">
    <w:name w:val="List Paragraph"/>
    <w:basedOn w:val="a"/>
    <w:uiPriority w:val="34"/>
    <w:qFormat/>
    <w:rsid w:val="00275909"/>
    <w:pPr>
      <w:widowControl w:val="0"/>
      <w:spacing w:after="160" w:line="278" w:lineRule="auto"/>
      <w:ind w:left="720"/>
      <w:contextualSpacing/>
    </w:pPr>
    <w:rPr>
      <w:rFonts w:asciiTheme="minorHAnsi" w:eastAsiaTheme="minorEastAsia" w:hAnsiTheme="minorHAnsi" w:cstheme="minorBidi"/>
      <w:kern w:val="2"/>
      <w:sz w:val="22"/>
      <w14:ligatures w14:val="standardContextual"/>
    </w:rPr>
  </w:style>
  <w:style w:type="character" w:styleId="aa">
    <w:name w:val="Intense Emphasis"/>
    <w:basedOn w:val="a0"/>
    <w:uiPriority w:val="21"/>
    <w:qFormat/>
    <w:rsid w:val="00275909"/>
    <w:rPr>
      <w:i/>
      <w:iCs/>
      <w:color w:val="0F4761" w:themeColor="accent1" w:themeShade="BF"/>
    </w:rPr>
  </w:style>
  <w:style w:type="paragraph" w:styleId="ab">
    <w:name w:val="Intense Quote"/>
    <w:basedOn w:val="a"/>
    <w:next w:val="a"/>
    <w:link w:val="ac"/>
    <w:uiPriority w:val="30"/>
    <w:qFormat/>
    <w:rsid w:val="00275909"/>
    <w:pPr>
      <w:widowControl w:val="0"/>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EastAsia" w:hAnsiTheme="minorHAnsi" w:cstheme="minorBidi"/>
      <w:i/>
      <w:iCs/>
      <w:color w:val="0F4761" w:themeColor="accent1" w:themeShade="BF"/>
      <w:kern w:val="2"/>
      <w:sz w:val="22"/>
      <w14:ligatures w14:val="standardContextual"/>
    </w:rPr>
  </w:style>
  <w:style w:type="character" w:customStyle="1" w:styleId="ac">
    <w:name w:val="明显引用 字符"/>
    <w:basedOn w:val="a0"/>
    <w:link w:val="ab"/>
    <w:uiPriority w:val="30"/>
    <w:rsid w:val="00275909"/>
    <w:rPr>
      <w:i/>
      <w:iCs/>
      <w:color w:val="0F4761" w:themeColor="accent1" w:themeShade="BF"/>
    </w:rPr>
  </w:style>
  <w:style w:type="character" w:styleId="ad">
    <w:name w:val="Intense Reference"/>
    <w:basedOn w:val="a0"/>
    <w:uiPriority w:val="32"/>
    <w:qFormat/>
    <w:rsid w:val="00275909"/>
    <w:rPr>
      <w:b/>
      <w:bCs/>
      <w:smallCaps/>
      <w:color w:val="0F4761" w:themeColor="accent1" w:themeShade="BF"/>
      <w:spacing w:val="5"/>
    </w:rPr>
  </w:style>
  <w:style w:type="character" w:styleId="ae">
    <w:name w:val="Strong"/>
    <w:basedOn w:val="a0"/>
    <w:uiPriority w:val="22"/>
    <w:qFormat/>
    <w:rsid w:val="00275909"/>
    <w:rPr>
      <w:b/>
      <w:bCs/>
    </w:rPr>
  </w:style>
  <w:style w:type="paragraph" w:customStyle="1" w:styleId="break-words">
    <w:name w:val="break-words"/>
    <w:basedOn w:val="a"/>
    <w:rsid w:val="00275909"/>
    <w:pPr>
      <w:spacing w:before="100" w:beforeAutospacing="1" w:after="100" w:afterAutospacing="1"/>
    </w:pPr>
  </w:style>
  <w:style w:type="character" w:customStyle="1" w:styleId="apple-converted-space">
    <w:name w:val="apple-converted-space"/>
    <w:basedOn w:val="a0"/>
    <w:rsid w:val="007D58DE"/>
  </w:style>
  <w:style w:type="paragraph" w:customStyle="1" w:styleId="p1">
    <w:name w:val="p1"/>
    <w:basedOn w:val="a"/>
    <w:rsid w:val="00AE7056"/>
    <w:rPr>
      <w:rFonts w:ascii="Arial" w:hAnsi="Arial" w:cs="Arial"/>
      <w:color w:val="141413"/>
      <w:sz w:val="15"/>
      <w:szCs w:val="15"/>
    </w:rPr>
  </w:style>
  <w:style w:type="character" w:styleId="af">
    <w:name w:val="Hyperlink"/>
    <w:basedOn w:val="a0"/>
    <w:uiPriority w:val="99"/>
    <w:unhideWhenUsed/>
    <w:rsid w:val="00AE7056"/>
    <w:rPr>
      <w:color w:val="467886" w:themeColor="hyperlink"/>
      <w:u w:val="single"/>
    </w:rPr>
  </w:style>
  <w:style w:type="character" w:styleId="af0">
    <w:name w:val="Unresolved Mention"/>
    <w:basedOn w:val="a0"/>
    <w:uiPriority w:val="99"/>
    <w:semiHidden/>
    <w:unhideWhenUsed/>
    <w:rsid w:val="00AE7056"/>
    <w:rPr>
      <w:color w:val="605E5C"/>
      <w:shd w:val="clear" w:color="auto" w:fill="E1DFDD"/>
    </w:rPr>
  </w:style>
  <w:style w:type="paragraph" w:styleId="HTML">
    <w:name w:val="HTML Preformatted"/>
    <w:basedOn w:val="a"/>
    <w:link w:val="HTML0"/>
    <w:uiPriority w:val="99"/>
    <w:unhideWhenUsed/>
    <w:rsid w:val="00AE7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rsid w:val="00AE7056"/>
    <w:rPr>
      <w:rFonts w:ascii="宋体" w:eastAsia="宋体" w:hAnsi="宋体" w:cs="宋体"/>
      <w:kern w:val="0"/>
      <w:sz w:val="24"/>
      <w14:ligatures w14:val="none"/>
    </w:rPr>
  </w:style>
  <w:style w:type="paragraph" w:styleId="af1">
    <w:name w:val="Normal (Web)"/>
    <w:basedOn w:val="a"/>
    <w:uiPriority w:val="99"/>
    <w:unhideWhenUsed/>
    <w:rsid w:val="00BC41AA"/>
    <w:pPr>
      <w:spacing w:before="100" w:beforeAutospacing="1" w:after="100" w:afterAutospacing="1"/>
    </w:pPr>
  </w:style>
  <w:style w:type="character" w:styleId="HTML1">
    <w:name w:val="HTML Code"/>
    <w:basedOn w:val="a0"/>
    <w:uiPriority w:val="99"/>
    <w:semiHidden/>
    <w:unhideWhenUsed/>
    <w:rsid w:val="00230262"/>
    <w:rPr>
      <w:rFonts w:ascii="宋体" w:eastAsia="宋体" w:hAnsi="宋体" w:cs="宋体"/>
      <w:sz w:val="24"/>
      <w:szCs w:val="24"/>
    </w:rPr>
  </w:style>
  <w:style w:type="character" w:customStyle="1" w:styleId="katex-mathml">
    <w:name w:val="katex-mathml"/>
    <w:basedOn w:val="a0"/>
    <w:rsid w:val="003518FD"/>
  </w:style>
  <w:style w:type="character" w:customStyle="1" w:styleId="mord">
    <w:name w:val="mord"/>
    <w:basedOn w:val="a0"/>
    <w:rsid w:val="003518FD"/>
  </w:style>
  <w:style w:type="character" w:customStyle="1" w:styleId="text-sm">
    <w:name w:val="text-sm"/>
    <w:basedOn w:val="a0"/>
    <w:rsid w:val="003518FD"/>
  </w:style>
  <w:style w:type="character" w:customStyle="1" w:styleId="mop">
    <w:name w:val="mop"/>
    <w:basedOn w:val="a0"/>
    <w:rsid w:val="003518FD"/>
  </w:style>
  <w:style w:type="character" w:customStyle="1" w:styleId="mopen">
    <w:name w:val="mopen"/>
    <w:basedOn w:val="a0"/>
    <w:rsid w:val="003518FD"/>
  </w:style>
  <w:style w:type="character" w:customStyle="1" w:styleId="mbin">
    <w:name w:val="mbin"/>
    <w:basedOn w:val="a0"/>
    <w:rsid w:val="003518FD"/>
  </w:style>
  <w:style w:type="character" w:customStyle="1" w:styleId="mclose">
    <w:name w:val="mclose"/>
    <w:basedOn w:val="a0"/>
    <w:rsid w:val="003518FD"/>
  </w:style>
  <w:style w:type="character" w:styleId="af2">
    <w:name w:val="FollowedHyperlink"/>
    <w:basedOn w:val="a0"/>
    <w:uiPriority w:val="99"/>
    <w:semiHidden/>
    <w:unhideWhenUsed/>
    <w:rsid w:val="003E67F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44276">
      <w:bodyDiv w:val="1"/>
      <w:marLeft w:val="0"/>
      <w:marRight w:val="0"/>
      <w:marTop w:val="0"/>
      <w:marBottom w:val="0"/>
      <w:divBdr>
        <w:top w:val="none" w:sz="0" w:space="0" w:color="auto"/>
        <w:left w:val="none" w:sz="0" w:space="0" w:color="auto"/>
        <w:bottom w:val="none" w:sz="0" w:space="0" w:color="auto"/>
        <w:right w:val="none" w:sz="0" w:space="0" w:color="auto"/>
      </w:divBdr>
    </w:div>
    <w:div w:id="64188711">
      <w:bodyDiv w:val="1"/>
      <w:marLeft w:val="0"/>
      <w:marRight w:val="0"/>
      <w:marTop w:val="0"/>
      <w:marBottom w:val="0"/>
      <w:divBdr>
        <w:top w:val="none" w:sz="0" w:space="0" w:color="auto"/>
        <w:left w:val="none" w:sz="0" w:space="0" w:color="auto"/>
        <w:bottom w:val="none" w:sz="0" w:space="0" w:color="auto"/>
        <w:right w:val="none" w:sz="0" w:space="0" w:color="auto"/>
      </w:divBdr>
      <w:divsChild>
        <w:div w:id="634919881">
          <w:marLeft w:val="0"/>
          <w:marRight w:val="0"/>
          <w:marTop w:val="0"/>
          <w:marBottom w:val="0"/>
          <w:divBdr>
            <w:top w:val="none" w:sz="0" w:space="0" w:color="auto"/>
            <w:left w:val="none" w:sz="0" w:space="0" w:color="auto"/>
            <w:bottom w:val="none" w:sz="0" w:space="0" w:color="auto"/>
            <w:right w:val="none" w:sz="0" w:space="0" w:color="auto"/>
          </w:divBdr>
        </w:div>
      </w:divsChild>
    </w:div>
    <w:div w:id="72509071">
      <w:bodyDiv w:val="1"/>
      <w:marLeft w:val="0"/>
      <w:marRight w:val="0"/>
      <w:marTop w:val="0"/>
      <w:marBottom w:val="0"/>
      <w:divBdr>
        <w:top w:val="none" w:sz="0" w:space="0" w:color="auto"/>
        <w:left w:val="none" w:sz="0" w:space="0" w:color="auto"/>
        <w:bottom w:val="none" w:sz="0" w:space="0" w:color="auto"/>
        <w:right w:val="none" w:sz="0" w:space="0" w:color="auto"/>
      </w:divBdr>
    </w:div>
    <w:div w:id="89744762">
      <w:bodyDiv w:val="1"/>
      <w:marLeft w:val="0"/>
      <w:marRight w:val="0"/>
      <w:marTop w:val="0"/>
      <w:marBottom w:val="0"/>
      <w:divBdr>
        <w:top w:val="none" w:sz="0" w:space="0" w:color="auto"/>
        <w:left w:val="none" w:sz="0" w:space="0" w:color="auto"/>
        <w:bottom w:val="none" w:sz="0" w:space="0" w:color="auto"/>
        <w:right w:val="none" w:sz="0" w:space="0" w:color="auto"/>
      </w:divBdr>
    </w:div>
    <w:div w:id="135100925">
      <w:bodyDiv w:val="1"/>
      <w:marLeft w:val="0"/>
      <w:marRight w:val="0"/>
      <w:marTop w:val="0"/>
      <w:marBottom w:val="0"/>
      <w:divBdr>
        <w:top w:val="none" w:sz="0" w:space="0" w:color="auto"/>
        <w:left w:val="none" w:sz="0" w:space="0" w:color="auto"/>
        <w:bottom w:val="none" w:sz="0" w:space="0" w:color="auto"/>
        <w:right w:val="none" w:sz="0" w:space="0" w:color="auto"/>
      </w:divBdr>
    </w:div>
    <w:div w:id="202443529">
      <w:bodyDiv w:val="1"/>
      <w:marLeft w:val="0"/>
      <w:marRight w:val="0"/>
      <w:marTop w:val="0"/>
      <w:marBottom w:val="0"/>
      <w:divBdr>
        <w:top w:val="none" w:sz="0" w:space="0" w:color="auto"/>
        <w:left w:val="none" w:sz="0" w:space="0" w:color="auto"/>
        <w:bottom w:val="none" w:sz="0" w:space="0" w:color="auto"/>
        <w:right w:val="none" w:sz="0" w:space="0" w:color="auto"/>
      </w:divBdr>
    </w:div>
    <w:div w:id="227690414">
      <w:bodyDiv w:val="1"/>
      <w:marLeft w:val="0"/>
      <w:marRight w:val="0"/>
      <w:marTop w:val="0"/>
      <w:marBottom w:val="0"/>
      <w:divBdr>
        <w:top w:val="none" w:sz="0" w:space="0" w:color="auto"/>
        <w:left w:val="none" w:sz="0" w:space="0" w:color="auto"/>
        <w:bottom w:val="none" w:sz="0" w:space="0" w:color="auto"/>
        <w:right w:val="none" w:sz="0" w:space="0" w:color="auto"/>
      </w:divBdr>
    </w:div>
    <w:div w:id="229965958">
      <w:bodyDiv w:val="1"/>
      <w:marLeft w:val="0"/>
      <w:marRight w:val="0"/>
      <w:marTop w:val="0"/>
      <w:marBottom w:val="0"/>
      <w:divBdr>
        <w:top w:val="none" w:sz="0" w:space="0" w:color="auto"/>
        <w:left w:val="none" w:sz="0" w:space="0" w:color="auto"/>
        <w:bottom w:val="none" w:sz="0" w:space="0" w:color="auto"/>
        <w:right w:val="none" w:sz="0" w:space="0" w:color="auto"/>
      </w:divBdr>
    </w:div>
    <w:div w:id="237833800">
      <w:bodyDiv w:val="1"/>
      <w:marLeft w:val="0"/>
      <w:marRight w:val="0"/>
      <w:marTop w:val="0"/>
      <w:marBottom w:val="0"/>
      <w:divBdr>
        <w:top w:val="none" w:sz="0" w:space="0" w:color="auto"/>
        <w:left w:val="none" w:sz="0" w:space="0" w:color="auto"/>
        <w:bottom w:val="none" w:sz="0" w:space="0" w:color="auto"/>
        <w:right w:val="none" w:sz="0" w:space="0" w:color="auto"/>
      </w:divBdr>
    </w:div>
    <w:div w:id="246229363">
      <w:bodyDiv w:val="1"/>
      <w:marLeft w:val="0"/>
      <w:marRight w:val="0"/>
      <w:marTop w:val="0"/>
      <w:marBottom w:val="0"/>
      <w:divBdr>
        <w:top w:val="none" w:sz="0" w:space="0" w:color="auto"/>
        <w:left w:val="none" w:sz="0" w:space="0" w:color="auto"/>
        <w:bottom w:val="none" w:sz="0" w:space="0" w:color="auto"/>
        <w:right w:val="none" w:sz="0" w:space="0" w:color="auto"/>
      </w:divBdr>
      <w:divsChild>
        <w:div w:id="1399093924">
          <w:marLeft w:val="0"/>
          <w:marRight w:val="0"/>
          <w:marTop w:val="0"/>
          <w:marBottom w:val="0"/>
          <w:divBdr>
            <w:top w:val="none" w:sz="0" w:space="0" w:color="auto"/>
            <w:left w:val="none" w:sz="0" w:space="0" w:color="auto"/>
            <w:bottom w:val="none" w:sz="0" w:space="0" w:color="auto"/>
            <w:right w:val="none" w:sz="0" w:space="0" w:color="auto"/>
          </w:divBdr>
        </w:div>
      </w:divsChild>
    </w:div>
    <w:div w:id="279184691">
      <w:bodyDiv w:val="1"/>
      <w:marLeft w:val="0"/>
      <w:marRight w:val="0"/>
      <w:marTop w:val="0"/>
      <w:marBottom w:val="0"/>
      <w:divBdr>
        <w:top w:val="none" w:sz="0" w:space="0" w:color="auto"/>
        <w:left w:val="none" w:sz="0" w:space="0" w:color="auto"/>
        <w:bottom w:val="none" w:sz="0" w:space="0" w:color="auto"/>
        <w:right w:val="none" w:sz="0" w:space="0" w:color="auto"/>
      </w:divBdr>
      <w:divsChild>
        <w:div w:id="1460149080">
          <w:marLeft w:val="0"/>
          <w:marRight w:val="0"/>
          <w:marTop w:val="0"/>
          <w:marBottom w:val="0"/>
          <w:divBdr>
            <w:top w:val="none" w:sz="0" w:space="0" w:color="auto"/>
            <w:left w:val="none" w:sz="0" w:space="0" w:color="auto"/>
            <w:bottom w:val="none" w:sz="0" w:space="0" w:color="auto"/>
            <w:right w:val="none" w:sz="0" w:space="0" w:color="auto"/>
          </w:divBdr>
        </w:div>
      </w:divsChild>
    </w:div>
    <w:div w:id="313880184">
      <w:bodyDiv w:val="1"/>
      <w:marLeft w:val="0"/>
      <w:marRight w:val="0"/>
      <w:marTop w:val="0"/>
      <w:marBottom w:val="0"/>
      <w:divBdr>
        <w:top w:val="none" w:sz="0" w:space="0" w:color="auto"/>
        <w:left w:val="none" w:sz="0" w:space="0" w:color="auto"/>
        <w:bottom w:val="none" w:sz="0" w:space="0" w:color="auto"/>
        <w:right w:val="none" w:sz="0" w:space="0" w:color="auto"/>
      </w:divBdr>
    </w:div>
    <w:div w:id="404255681">
      <w:bodyDiv w:val="1"/>
      <w:marLeft w:val="0"/>
      <w:marRight w:val="0"/>
      <w:marTop w:val="0"/>
      <w:marBottom w:val="0"/>
      <w:divBdr>
        <w:top w:val="none" w:sz="0" w:space="0" w:color="auto"/>
        <w:left w:val="none" w:sz="0" w:space="0" w:color="auto"/>
        <w:bottom w:val="none" w:sz="0" w:space="0" w:color="auto"/>
        <w:right w:val="none" w:sz="0" w:space="0" w:color="auto"/>
      </w:divBdr>
      <w:divsChild>
        <w:div w:id="331954374">
          <w:marLeft w:val="0"/>
          <w:marRight w:val="0"/>
          <w:marTop w:val="0"/>
          <w:marBottom w:val="0"/>
          <w:divBdr>
            <w:top w:val="none" w:sz="0" w:space="0" w:color="auto"/>
            <w:left w:val="none" w:sz="0" w:space="0" w:color="auto"/>
            <w:bottom w:val="none" w:sz="0" w:space="0" w:color="auto"/>
            <w:right w:val="none" w:sz="0" w:space="0" w:color="auto"/>
          </w:divBdr>
        </w:div>
      </w:divsChild>
    </w:div>
    <w:div w:id="481504469">
      <w:bodyDiv w:val="1"/>
      <w:marLeft w:val="0"/>
      <w:marRight w:val="0"/>
      <w:marTop w:val="0"/>
      <w:marBottom w:val="0"/>
      <w:divBdr>
        <w:top w:val="none" w:sz="0" w:space="0" w:color="auto"/>
        <w:left w:val="none" w:sz="0" w:space="0" w:color="auto"/>
        <w:bottom w:val="none" w:sz="0" w:space="0" w:color="auto"/>
        <w:right w:val="none" w:sz="0" w:space="0" w:color="auto"/>
      </w:divBdr>
    </w:div>
    <w:div w:id="484780429">
      <w:bodyDiv w:val="1"/>
      <w:marLeft w:val="0"/>
      <w:marRight w:val="0"/>
      <w:marTop w:val="0"/>
      <w:marBottom w:val="0"/>
      <w:divBdr>
        <w:top w:val="none" w:sz="0" w:space="0" w:color="auto"/>
        <w:left w:val="none" w:sz="0" w:space="0" w:color="auto"/>
        <w:bottom w:val="none" w:sz="0" w:space="0" w:color="auto"/>
        <w:right w:val="none" w:sz="0" w:space="0" w:color="auto"/>
      </w:divBdr>
    </w:div>
    <w:div w:id="586571554">
      <w:bodyDiv w:val="1"/>
      <w:marLeft w:val="0"/>
      <w:marRight w:val="0"/>
      <w:marTop w:val="0"/>
      <w:marBottom w:val="0"/>
      <w:divBdr>
        <w:top w:val="none" w:sz="0" w:space="0" w:color="auto"/>
        <w:left w:val="none" w:sz="0" w:space="0" w:color="auto"/>
        <w:bottom w:val="none" w:sz="0" w:space="0" w:color="auto"/>
        <w:right w:val="none" w:sz="0" w:space="0" w:color="auto"/>
      </w:divBdr>
      <w:divsChild>
        <w:div w:id="58480757">
          <w:marLeft w:val="0"/>
          <w:marRight w:val="0"/>
          <w:marTop w:val="0"/>
          <w:marBottom w:val="0"/>
          <w:divBdr>
            <w:top w:val="none" w:sz="0" w:space="0" w:color="auto"/>
            <w:left w:val="none" w:sz="0" w:space="0" w:color="auto"/>
            <w:bottom w:val="none" w:sz="0" w:space="0" w:color="auto"/>
            <w:right w:val="none" w:sz="0" w:space="0" w:color="auto"/>
          </w:divBdr>
        </w:div>
      </w:divsChild>
    </w:div>
    <w:div w:id="624386361">
      <w:bodyDiv w:val="1"/>
      <w:marLeft w:val="0"/>
      <w:marRight w:val="0"/>
      <w:marTop w:val="0"/>
      <w:marBottom w:val="0"/>
      <w:divBdr>
        <w:top w:val="none" w:sz="0" w:space="0" w:color="auto"/>
        <w:left w:val="none" w:sz="0" w:space="0" w:color="auto"/>
        <w:bottom w:val="none" w:sz="0" w:space="0" w:color="auto"/>
        <w:right w:val="none" w:sz="0" w:space="0" w:color="auto"/>
      </w:divBdr>
    </w:div>
    <w:div w:id="636960708">
      <w:bodyDiv w:val="1"/>
      <w:marLeft w:val="0"/>
      <w:marRight w:val="0"/>
      <w:marTop w:val="0"/>
      <w:marBottom w:val="0"/>
      <w:divBdr>
        <w:top w:val="none" w:sz="0" w:space="0" w:color="auto"/>
        <w:left w:val="none" w:sz="0" w:space="0" w:color="auto"/>
        <w:bottom w:val="none" w:sz="0" w:space="0" w:color="auto"/>
        <w:right w:val="none" w:sz="0" w:space="0" w:color="auto"/>
      </w:divBdr>
      <w:divsChild>
        <w:div w:id="521895909">
          <w:marLeft w:val="0"/>
          <w:marRight w:val="0"/>
          <w:marTop w:val="0"/>
          <w:marBottom w:val="0"/>
          <w:divBdr>
            <w:top w:val="none" w:sz="0" w:space="0" w:color="auto"/>
            <w:left w:val="none" w:sz="0" w:space="0" w:color="auto"/>
            <w:bottom w:val="none" w:sz="0" w:space="0" w:color="auto"/>
            <w:right w:val="none" w:sz="0" w:space="0" w:color="auto"/>
          </w:divBdr>
        </w:div>
      </w:divsChild>
    </w:div>
    <w:div w:id="757361955">
      <w:bodyDiv w:val="1"/>
      <w:marLeft w:val="0"/>
      <w:marRight w:val="0"/>
      <w:marTop w:val="0"/>
      <w:marBottom w:val="0"/>
      <w:divBdr>
        <w:top w:val="none" w:sz="0" w:space="0" w:color="auto"/>
        <w:left w:val="none" w:sz="0" w:space="0" w:color="auto"/>
        <w:bottom w:val="none" w:sz="0" w:space="0" w:color="auto"/>
        <w:right w:val="none" w:sz="0" w:space="0" w:color="auto"/>
      </w:divBdr>
    </w:div>
    <w:div w:id="780224686">
      <w:bodyDiv w:val="1"/>
      <w:marLeft w:val="0"/>
      <w:marRight w:val="0"/>
      <w:marTop w:val="0"/>
      <w:marBottom w:val="0"/>
      <w:divBdr>
        <w:top w:val="none" w:sz="0" w:space="0" w:color="auto"/>
        <w:left w:val="none" w:sz="0" w:space="0" w:color="auto"/>
        <w:bottom w:val="none" w:sz="0" w:space="0" w:color="auto"/>
        <w:right w:val="none" w:sz="0" w:space="0" w:color="auto"/>
      </w:divBdr>
    </w:div>
    <w:div w:id="791292885">
      <w:bodyDiv w:val="1"/>
      <w:marLeft w:val="0"/>
      <w:marRight w:val="0"/>
      <w:marTop w:val="0"/>
      <w:marBottom w:val="0"/>
      <w:divBdr>
        <w:top w:val="none" w:sz="0" w:space="0" w:color="auto"/>
        <w:left w:val="none" w:sz="0" w:space="0" w:color="auto"/>
        <w:bottom w:val="none" w:sz="0" w:space="0" w:color="auto"/>
        <w:right w:val="none" w:sz="0" w:space="0" w:color="auto"/>
      </w:divBdr>
      <w:divsChild>
        <w:div w:id="282274286">
          <w:marLeft w:val="0"/>
          <w:marRight w:val="0"/>
          <w:marTop w:val="0"/>
          <w:marBottom w:val="0"/>
          <w:divBdr>
            <w:top w:val="none" w:sz="0" w:space="0" w:color="auto"/>
            <w:left w:val="none" w:sz="0" w:space="0" w:color="auto"/>
            <w:bottom w:val="none" w:sz="0" w:space="0" w:color="auto"/>
            <w:right w:val="none" w:sz="0" w:space="0" w:color="auto"/>
          </w:divBdr>
        </w:div>
      </w:divsChild>
    </w:div>
    <w:div w:id="838037454">
      <w:bodyDiv w:val="1"/>
      <w:marLeft w:val="0"/>
      <w:marRight w:val="0"/>
      <w:marTop w:val="0"/>
      <w:marBottom w:val="0"/>
      <w:divBdr>
        <w:top w:val="none" w:sz="0" w:space="0" w:color="auto"/>
        <w:left w:val="none" w:sz="0" w:space="0" w:color="auto"/>
        <w:bottom w:val="none" w:sz="0" w:space="0" w:color="auto"/>
        <w:right w:val="none" w:sz="0" w:space="0" w:color="auto"/>
      </w:divBdr>
      <w:divsChild>
        <w:div w:id="1349671133">
          <w:marLeft w:val="0"/>
          <w:marRight w:val="0"/>
          <w:marTop w:val="0"/>
          <w:marBottom w:val="0"/>
          <w:divBdr>
            <w:top w:val="none" w:sz="0" w:space="0" w:color="auto"/>
            <w:left w:val="none" w:sz="0" w:space="0" w:color="auto"/>
            <w:bottom w:val="none" w:sz="0" w:space="0" w:color="auto"/>
            <w:right w:val="none" w:sz="0" w:space="0" w:color="auto"/>
          </w:divBdr>
        </w:div>
      </w:divsChild>
    </w:div>
    <w:div w:id="843545001">
      <w:bodyDiv w:val="1"/>
      <w:marLeft w:val="0"/>
      <w:marRight w:val="0"/>
      <w:marTop w:val="0"/>
      <w:marBottom w:val="0"/>
      <w:divBdr>
        <w:top w:val="none" w:sz="0" w:space="0" w:color="auto"/>
        <w:left w:val="none" w:sz="0" w:space="0" w:color="auto"/>
        <w:bottom w:val="none" w:sz="0" w:space="0" w:color="auto"/>
        <w:right w:val="none" w:sz="0" w:space="0" w:color="auto"/>
      </w:divBdr>
      <w:divsChild>
        <w:div w:id="1617326846">
          <w:marLeft w:val="0"/>
          <w:marRight w:val="0"/>
          <w:marTop w:val="0"/>
          <w:marBottom w:val="0"/>
          <w:divBdr>
            <w:top w:val="none" w:sz="0" w:space="0" w:color="auto"/>
            <w:left w:val="none" w:sz="0" w:space="0" w:color="auto"/>
            <w:bottom w:val="none" w:sz="0" w:space="0" w:color="auto"/>
            <w:right w:val="none" w:sz="0" w:space="0" w:color="auto"/>
          </w:divBdr>
        </w:div>
      </w:divsChild>
    </w:div>
    <w:div w:id="851989291">
      <w:bodyDiv w:val="1"/>
      <w:marLeft w:val="0"/>
      <w:marRight w:val="0"/>
      <w:marTop w:val="0"/>
      <w:marBottom w:val="0"/>
      <w:divBdr>
        <w:top w:val="none" w:sz="0" w:space="0" w:color="auto"/>
        <w:left w:val="none" w:sz="0" w:space="0" w:color="auto"/>
        <w:bottom w:val="none" w:sz="0" w:space="0" w:color="auto"/>
        <w:right w:val="none" w:sz="0" w:space="0" w:color="auto"/>
      </w:divBdr>
    </w:div>
    <w:div w:id="868683257">
      <w:bodyDiv w:val="1"/>
      <w:marLeft w:val="0"/>
      <w:marRight w:val="0"/>
      <w:marTop w:val="0"/>
      <w:marBottom w:val="0"/>
      <w:divBdr>
        <w:top w:val="none" w:sz="0" w:space="0" w:color="auto"/>
        <w:left w:val="none" w:sz="0" w:space="0" w:color="auto"/>
        <w:bottom w:val="none" w:sz="0" w:space="0" w:color="auto"/>
        <w:right w:val="none" w:sz="0" w:space="0" w:color="auto"/>
      </w:divBdr>
      <w:divsChild>
        <w:div w:id="1694569815">
          <w:marLeft w:val="0"/>
          <w:marRight w:val="0"/>
          <w:marTop w:val="0"/>
          <w:marBottom w:val="0"/>
          <w:divBdr>
            <w:top w:val="none" w:sz="0" w:space="0" w:color="auto"/>
            <w:left w:val="none" w:sz="0" w:space="0" w:color="auto"/>
            <w:bottom w:val="none" w:sz="0" w:space="0" w:color="auto"/>
            <w:right w:val="none" w:sz="0" w:space="0" w:color="auto"/>
          </w:divBdr>
        </w:div>
      </w:divsChild>
    </w:div>
    <w:div w:id="871960388">
      <w:bodyDiv w:val="1"/>
      <w:marLeft w:val="0"/>
      <w:marRight w:val="0"/>
      <w:marTop w:val="0"/>
      <w:marBottom w:val="0"/>
      <w:divBdr>
        <w:top w:val="none" w:sz="0" w:space="0" w:color="auto"/>
        <w:left w:val="none" w:sz="0" w:space="0" w:color="auto"/>
        <w:bottom w:val="none" w:sz="0" w:space="0" w:color="auto"/>
        <w:right w:val="none" w:sz="0" w:space="0" w:color="auto"/>
      </w:divBdr>
      <w:divsChild>
        <w:div w:id="795832529">
          <w:marLeft w:val="0"/>
          <w:marRight w:val="0"/>
          <w:marTop w:val="0"/>
          <w:marBottom w:val="0"/>
          <w:divBdr>
            <w:top w:val="none" w:sz="0" w:space="0" w:color="auto"/>
            <w:left w:val="none" w:sz="0" w:space="0" w:color="auto"/>
            <w:bottom w:val="none" w:sz="0" w:space="0" w:color="auto"/>
            <w:right w:val="none" w:sz="0" w:space="0" w:color="auto"/>
          </w:divBdr>
        </w:div>
      </w:divsChild>
    </w:div>
    <w:div w:id="876743445">
      <w:bodyDiv w:val="1"/>
      <w:marLeft w:val="0"/>
      <w:marRight w:val="0"/>
      <w:marTop w:val="0"/>
      <w:marBottom w:val="0"/>
      <w:divBdr>
        <w:top w:val="none" w:sz="0" w:space="0" w:color="auto"/>
        <w:left w:val="none" w:sz="0" w:space="0" w:color="auto"/>
        <w:bottom w:val="none" w:sz="0" w:space="0" w:color="auto"/>
        <w:right w:val="none" w:sz="0" w:space="0" w:color="auto"/>
      </w:divBdr>
    </w:div>
    <w:div w:id="881870111">
      <w:bodyDiv w:val="1"/>
      <w:marLeft w:val="0"/>
      <w:marRight w:val="0"/>
      <w:marTop w:val="0"/>
      <w:marBottom w:val="0"/>
      <w:divBdr>
        <w:top w:val="none" w:sz="0" w:space="0" w:color="auto"/>
        <w:left w:val="none" w:sz="0" w:space="0" w:color="auto"/>
        <w:bottom w:val="none" w:sz="0" w:space="0" w:color="auto"/>
        <w:right w:val="none" w:sz="0" w:space="0" w:color="auto"/>
      </w:divBdr>
    </w:div>
    <w:div w:id="884025053">
      <w:bodyDiv w:val="1"/>
      <w:marLeft w:val="0"/>
      <w:marRight w:val="0"/>
      <w:marTop w:val="0"/>
      <w:marBottom w:val="0"/>
      <w:divBdr>
        <w:top w:val="none" w:sz="0" w:space="0" w:color="auto"/>
        <w:left w:val="none" w:sz="0" w:space="0" w:color="auto"/>
        <w:bottom w:val="none" w:sz="0" w:space="0" w:color="auto"/>
        <w:right w:val="none" w:sz="0" w:space="0" w:color="auto"/>
      </w:divBdr>
      <w:divsChild>
        <w:div w:id="2037584765">
          <w:marLeft w:val="0"/>
          <w:marRight w:val="0"/>
          <w:marTop w:val="0"/>
          <w:marBottom w:val="0"/>
          <w:divBdr>
            <w:top w:val="none" w:sz="0" w:space="0" w:color="auto"/>
            <w:left w:val="none" w:sz="0" w:space="0" w:color="auto"/>
            <w:bottom w:val="none" w:sz="0" w:space="0" w:color="auto"/>
            <w:right w:val="none" w:sz="0" w:space="0" w:color="auto"/>
          </w:divBdr>
        </w:div>
      </w:divsChild>
    </w:div>
    <w:div w:id="924454196">
      <w:bodyDiv w:val="1"/>
      <w:marLeft w:val="0"/>
      <w:marRight w:val="0"/>
      <w:marTop w:val="0"/>
      <w:marBottom w:val="0"/>
      <w:divBdr>
        <w:top w:val="none" w:sz="0" w:space="0" w:color="auto"/>
        <w:left w:val="none" w:sz="0" w:space="0" w:color="auto"/>
        <w:bottom w:val="none" w:sz="0" w:space="0" w:color="auto"/>
        <w:right w:val="none" w:sz="0" w:space="0" w:color="auto"/>
      </w:divBdr>
      <w:divsChild>
        <w:div w:id="203491356">
          <w:marLeft w:val="0"/>
          <w:marRight w:val="0"/>
          <w:marTop w:val="0"/>
          <w:marBottom w:val="0"/>
          <w:divBdr>
            <w:top w:val="none" w:sz="0" w:space="0" w:color="auto"/>
            <w:left w:val="none" w:sz="0" w:space="0" w:color="auto"/>
            <w:bottom w:val="none" w:sz="0" w:space="0" w:color="auto"/>
            <w:right w:val="none" w:sz="0" w:space="0" w:color="auto"/>
          </w:divBdr>
        </w:div>
      </w:divsChild>
    </w:div>
    <w:div w:id="1009257698">
      <w:bodyDiv w:val="1"/>
      <w:marLeft w:val="0"/>
      <w:marRight w:val="0"/>
      <w:marTop w:val="0"/>
      <w:marBottom w:val="0"/>
      <w:divBdr>
        <w:top w:val="none" w:sz="0" w:space="0" w:color="auto"/>
        <w:left w:val="none" w:sz="0" w:space="0" w:color="auto"/>
        <w:bottom w:val="none" w:sz="0" w:space="0" w:color="auto"/>
        <w:right w:val="none" w:sz="0" w:space="0" w:color="auto"/>
      </w:divBdr>
      <w:divsChild>
        <w:div w:id="401292113">
          <w:marLeft w:val="0"/>
          <w:marRight w:val="0"/>
          <w:marTop w:val="0"/>
          <w:marBottom w:val="0"/>
          <w:divBdr>
            <w:top w:val="none" w:sz="0" w:space="0" w:color="auto"/>
            <w:left w:val="none" w:sz="0" w:space="0" w:color="auto"/>
            <w:bottom w:val="none" w:sz="0" w:space="0" w:color="auto"/>
            <w:right w:val="none" w:sz="0" w:space="0" w:color="auto"/>
          </w:divBdr>
        </w:div>
      </w:divsChild>
    </w:div>
    <w:div w:id="1012997341">
      <w:bodyDiv w:val="1"/>
      <w:marLeft w:val="0"/>
      <w:marRight w:val="0"/>
      <w:marTop w:val="0"/>
      <w:marBottom w:val="0"/>
      <w:divBdr>
        <w:top w:val="none" w:sz="0" w:space="0" w:color="auto"/>
        <w:left w:val="none" w:sz="0" w:space="0" w:color="auto"/>
        <w:bottom w:val="none" w:sz="0" w:space="0" w:color="auto"/>
        <w:right w:val="none" w:sz="0" w:space="0" w:color="auto"/>
      </w:divBdr>
      <w:divsChild>
        <w:div w:id="27146299">
          <w:marLeft w:val="0"/>
          <w:marRight w:val="0"/>
          <w:marTop w:val="0"/>
          <w:marBottom w:val="0"/>
          <w:divBdr>
            <w:top w:val="none" w:sz="0" w:space="0" w:color="auto"/>
            <w:left w:val="none" w:sz="0" w:space="0" w:color="auto"/>
            <w:bottom w:val="none" w:sz="0" w:space="0" w:color="auto"/>
            <w:right w:val="none" w:sz="0" w:space="0" w:color="auto"/>
          </w:divBdr>
        </w:div>
      </w:divsChild>
    </w:div>
    <w:div w:id="1022828902">
      <w:bodyDiv w:val="1"/>
      <w:marLeft w:val="0"/>
      <w:marRight w:val="0"/>
      <w:marTop w:val="0"/>
      <w:marBottom w:val="0"/>
      <w:divBdr>
        <w:top w:val="none" w:sz="0" w:space="0" w:color="auto"/>
        <w:left w:val="none" w:sz="0" w:space="0" w:color="auto"/>
        <w:bottom w:val="none" w:sz="0" w:space="0" w:color="auto"/>
        <w:right w:val="none" w:sz="0" w:space="0" w:color="auto"/>
      </w:divBdr>
      <w:divsChild>
        <w:div w:id="633099982">
          <w:marLeft w:val="0"/>
          <w:marRight w:val="0"/>
          <w:marTop w:val="0"/>
          <w:marBottom w:val="0"/>
          <w:divBdr>
            <w:top w:val="none" w:sz="0" w:space="0" w:color="auto"/>
            <w:left w:val="none" w:sz="0" w:space="0" w:color="auto"/>
            <w:bottom w:val="none" w:sz="0" w:space="0" w:color="auto"/>
            <w:right w:val="none" w:sz="0" w:space="0" w:color="auto"/>
          </w:divBdr>
        </w:div>
      </w:divsChild>
    </w:div>
    <w:div w:id="1031761353">
      <w:bodyDiv w:val="1"/>
      <w:marLeft w:val="0"/>
      <w:marRight w:val="0"/>
      <w:marTop w:val="0"/>
      <w:marBottom w:val="0"/>
      <w:divBdr>
        <w:top w:val="none" w:sz="0" w:space="0" w:color="auto"/>
        <w:left w:val="none" w:sz="0" w:space="0" w:color="auto"/>
        <w:bottom w:val="none" w:sz="0" w:space="0" w:color="auto"/>
        <w:right w:val="none" w:sz="0" w:space="0" w:color="auto"/>
      </w:divBdr>
      <w:divsChild>
        <w:div w:id="1676613035">
          <w:marLeft w:val="0"/>
          <w:marRight w:val="0"/>
          <w:marTop w:val="0"/>
          <w:marBottom w:val="0"/>
          <w:divBdr>
            <w:top w:val="none" w:sz="0" w:space="0" w:color="auto"/>
            <w:left w:val="none" w:sz="0" w:space="0" w:color="auto"/>
            <w:bottom w:val="none" w:sz="0" w:space="0" w:color="auto"/>
            <w:right w:val="none" w:sz="0" w:space="0" w:color="auto"/>
          </w:divBdr>
        </w:div>
      </w:divsChild>
    </w:div>
    <w:div w:id="1137723812">
      <w:bodyDiv w:val="1"/>
      <w:marLeft w:val="0"/>
      <w:marRight w:val="0"/>
      <w:marTop w:val="0"/>
      <w:marBottom w:val="0"/>
      <w:divBdr>
        <w:top w:val="none" w:sz="0" w:space="0" w:color="auto"/>
        <w:left w:val="none" w:sz="0" w:space="0" w:color="auto"/>
        <w:bottom w:val="none" w:sz="0" w:space="0" w:color="auto"/>
        <w:right w:val="none" w:sz="0" w:space="0" w:color="auto"/>
      </w:divBdr>
    </w:div>
    <w:div w:id="1138573127">
      <w:bodyDiv w:val="1"/>
      <w:marLeft w:val="0"/>
      <w:marRight w:val="0"/>
      <w:marTop w:val="0"/>
      <w:marBottom w:val="0"/>
      <w:divBdr>
        <w:top w:val="none" w:sz="0" w:space="0" w:color="auto"/>
        <w:left w:val="none" w:sz="0" w:space="0" w:color="auto"/>
        <w:bottom w:val="none" w:sz="0" w:space="0" w:color="auto"/>
        <w:right w:val="none" w:sz="0" w:space="0" w:color="auto"/>
      </w:divBdr>
    </w:div>
    <w:div w:id="1178275593">
      <w:bodyDiv w:val="1"/>
      <w:marLeft w:val="0"/>
      <w:marRight w:val="0"/>
      <w:marTop w:val="0"/>
      <w:marBottom w:val="0"/>
      <w:divBdr>
        <w:top w:val="none" w:sz="0" w:space="0" w:color="auto"/>
        <w:left w:val="none" w:sz="0" w:space="0" w:color="auto"/>
        <w:bottom w:val="none" w:sz="0" w:space="0" w:color="auto"/>
        <w:right w:val="none" w:sz="0" w:space="0" w:color="auto"/>
      </w:divBdr>
    </w:div>
    <w:div w:id="1230919228">
      <w:bodyDiv w:val="1"/>
      <w:marLeft w:val="0"/>
      <w:marRight w:val="0"/>
      <w:marTop w:val="0"/>
      <w:marBottom w:val="0"/>
      <w:divBdr>
        <w:top w:val="none" w:sz="0" w:space="0" w:color="auto"/>
        <w:left w:val="none" w:sz="0" w:space="0" w:color="auto"/>
        <w:bottom w:val="none" w:sz="0" w:space="0" w:color="auto"/>
        <w:right w:val="none" w:sz="0" w:space="0" w:color="auto"/>
      </w:divBdr>
      <w:divsChild>
        <w:div w:id="1678993357">
          <w:marLeft w:val="0"/>
          <w:marRight w:val="0"/>
          <w:marTop w:val="0"/>
          <w:marBottom w:val="0"/>
          <w:divBdr>
            <w:top w:val="none" w:sz="0" w:space="0" w:color="auto"/>
            <w:left w:val="none" w:sz="0" w:space="0" w:color="auto"/>
            <w:bottom w:val="none" w:sz="0" w:space="0" w:color="auto"/>
            <w:right w:val="none" w:sz="0" w:space="0" w:color="auto"/>
          </w:divBdr>
        </w:div>
      </w:divsChild>
    </w:div>
    <w:div w:id="1280918673">
      <w:bodyDiv w:val="1"/>
      <w:marLeft w:val="0"/>
      <w:marRight w:val="0"/>
      <w:marTop w:val="0"/>
      <w:marBottom w:val="0"/>
      <w:divBdr>
        <w:top w:val="none" w:sz="0" w:space="0" w:color="auto"/>
        <w:left w:val="none" w:sz="0" w:space="0" w:color="auto"/>
        <w:bottom w:val="none" w:sz="0" w:space="0" w:color="auto"/>
        <w:right w:val="none" w:sz="0" w:space="0" w:color="auto"/>
      </w:divBdr>
      <w:divsChild>
        <w:div w:id="367031957">
          <w:marLeft w:val="0"/>
          <w:marRight w:val="0"/>
          <w:marTop w:val="0"/>
          <w:marBottom w:val="0"/>
          <w:divBdr>
            <w:top w:val="none" w:sz="0" w:space="0" w:color="auto"/>
            <w:left w:val="none" w:sz="0" w:space="0" w:color="auto"/>
            <w:bottom w:val="none" w:sz="0" w:space="0" w:color="auto"/>
            <w:right w:val="none" w:sz="0" w:space="0" w:color="auto"/>
          </w:divBdr>
        </w:div>
      </w:divsChild>
    </w:div>
    <w:div w:id="1513301843">
      <w:bodyDiv w:val="1"/>
      <w:marLeft w:val="0"/>
      <w:marRight w:val="0"/>
      <w:marTop w:val="0"/>
      <w:marBottom w:val="0"/>
      <w:divBdr>
        <w:top w:val="none" w:sz="0" w:space="0" w:color="auto"/>
        <w:left w:val="none" w:sz="0" w:space="0" w:color="auto"/>
        <w:bottom w:val="none" w:sz="0" w:space="0" w:color="auto"/>
        <w:right w:val="none" w:sz="0" w:space="0" w:color="auto"/>
      </w:divBdr>
      <w:divsChild>
        <w:div w:id="1824008574">
          <w:marLeft w:val="0"/>
          <w:marRight w:val="0"/>
          <w:marTop w:val="0"/>
          <w:marBottom w:val="0"/>
          <w:divBdr>
            <w:top w:val="none" w:sz="0" w:space="0" w:color="auto"/>
            <w:left w:val="none" w:sz="0" w:space="0" w:color="auto"/>
            <w:bottom w:val="none" w:sz="0" w:space="0" w:color="auto"/>
            <w:right w:val="none" w:sz="0" w:space="0" w:color="auto"/>
          </w:divBdr>
        </w:div>
      </w:divsChild>
    </w:div>
    <w:div w:id="1589117246">
      <w:bodyDiv w:val="1"/>
      <w:marLeft w:val="0"/>
      <w:marRight w:val="0"/>
      <w:marTop w:val="0"/>
      <w:marBottom w:val="0"/>
      <w:divBdr>
        <w:top w:val="none" w:sz="0" w:space="0" w:color="auto"/>
        <w:left w:val="none" w:sz="0" w:space="0" w:color="auto"/>
        <w:bottom w:val="none" w:sz="0" w:space="0" w:color="auto"/>
        <w:right w:val="none" w:sz="0" w:space="0" w:color="auto"/>
      </w:divBdr>
    </w:div>
    <w:div w:id="1673795511">
      <w:bodyDiv w:val="1"/>
      <w:marLeft w:val="0"/>
      <w:marRight w:val="0"/>
      <w:marTop w:val="0"/>
      <w:marBottom w:val="0"/>
      <w:divBdr>
        <w:top w:val="none" w:sz="0" w:space="0" w:color="auto"/>
        <w:left w:val="none" w:sz="0" w:space="0" w:color="auto"/>
        <w:bottom w:val="none" w:sz="0" w:space="0" w:color="auto"/>
        <w:right w:val="none" w:sz="0" w:space="0" w:color="auto"/>
      </w:divBdr>
    </w:div>
    <w:div w:id="1689066364">
      <w:bodyDiv w:val="1"/>
      <w:marLeft w:val="0"/>
      <w:marRight w:val="0"/>
      <w:marTop w:val="0"/>
      <w:marBottom w:val="0"/>
      <w:divBdr>
        <w:top w:val="none" w:sz="0" w:space="0" w:color="auto"/>
        <w:left w:val="none" w:sz="0" w:space="0" w:color="auto"/>
        <w:bottom w:val="none" w:sz="0" w:space="0" w:color="auto"/>
        <w:right w:val="none" w:sz="0" w:space="0" w:color="auto"/>
      </w:divBdr>
    </w:div>
    <w:div w:id="1728187226">
      <w:bodyDiv w:val="1"/>
      <w:marLeft w:val="0"/>
      <w:marRight w:val="0"/>
      <w:marTop w:val="0"/>
      <w:marBottom w:val="0"/>
      <w:divBdr>
        <w:top w:val="none" w:sz="0" w:space="0" w:color="auto"/>
        <w:left w:val="none" w:sz="0" w:space="0" w:color="auto"/>
        <w:bottom w:val="none" w:sz="0" w:space="0" w:color="auto"/>
        <w:right w:val="none" w:sz="0" w:space="0" w:color="auto"/>
      </w:divBdr>
    </w:div>
    <w:div w:id="1775204413">
      <w:bodyDiv w:val="1"/>
      <w:marLeft w:val="0"/>
      <w:marRight w:val="0"/>
      <w:marTop w:val="0"/>
      <w:marBottom w:val="0"/>
      <w:divBdr>
        <w:top w:val="none" w:sz="0" w:space="0" w:color="auto"/>
        <w:left w:val="none" w:sz="0" w:space="0" w:color="auto"/>
        <w:bottom w:val="none" w:sz="0" w:space="0" w:color="auto"/>
        <w:right w:val="none" w:sz="0" w:space="0" w:color="auto"/>
      </w:divBdr>
    </w:div>
    <w:div w:id="1812744732">
      <w:bodyDiv w:val="1"/>
      <w:marLeft w:val="0"/>
      <w:marRight w:val="0"/>
      <w:marTop w:val="0"/>
      <w:marBottom w:val="0"/>
      <w:divBdr>
        <w:top w:val="none" w:sz="0" w:space="0" w:color="auto"/>
        <w:left w:val="none" w:sz="0" w:space="0" w:color="auto"/>
        <w:bottom w:val="none" w:sz="0" w:space="0" w:color="auto"/>
        <w:right w:val="none" w:sz="0" w:space="0" w:color="auto"/>
      </w:divBdr>
      <w:divsChild>
        <w:div w:id="1789277991">
          <w:marLeft w:val="0"/>
          <w:marRight w:val="0"/>
          <w:marTop w:val="0"/>
          <w:marBottom w:val="0"/>
          <w:divBdr>
            <w:top w:val="none" w:sz="0" w:space="0" w:color="auto"/>
            <w:left w:val="none" w:sz="0" w:space="0" w:color="auto"/>
            <w:bottom w:val="none" w:sz="0" w:space="0" w:color="auto"/>
            <w:right w:val="none" w:sz="0" w:space="0" w:color="auto"/>
          </w:divBdr>
        </w:div>
      </w:divsChild>
    </w:div>
    <w:div w:id="1817649656">
      <w:bodyDiv w:val="1"/>
      <w:marLeft w:val="0"/>
      <w:marRight w:val="0"/>
      <w:marTop w:val="0"/>
      <w:marBottom w:val="0"/>
      <w:divBdr>
        <w:top w:val="none" w:sz="0" w:space="0" w:color="auto"/>
        <w:left w:val="none" w:sz="0" w:space="0" w:color="auto"/>
        <w:bottom w:val="none" w:sz="0" w:space="0" w:color="auto"/>
        <w:right w:val="none" w:sz="0" w:space="0" w:color="auto"/>
      </w:divBdr>
      <w:divsChild>
        <w:div w:id="2141414183">
          <w:marLeft w:val="0"/>
          <w:marRight w:val="0"/>
          <w:marTop w:val="0"/>
          <w:marBottom w:val="0"/>
          <w:divBdr>
            <w:top w:val="none" w:sz="0" w:space="0" w:color="auto"/>
            <w:left w:val="none" w:sz="0" w:space="0" w:color="auto"/>
            <w:bottom w:val="none" w:sz="0" w:space="0" w:color="auto"/>
            <w:right w:val="none" w:sz="0" w:space="0" w:color="auto"/>
          </w:divBdr>
        </w:div>
      </w:divsChild>
    </w:div>
    <w:div w:id="2004119083">
      <w:bodyDiv w:val="1"/>
      <w:marLeft w:val="0"/>
      <w:marRight w:val="0"/>
      <w:marTop w:val="0"/>
      <w:marBottom w:val="0"/>
      <w:divBdr>
        <w:top w:val="none" w:sz="0" w:space="0" w:color="auto"/>
        <w:left w:val="none" w:sz="0" w:space="0" w:color="auto"/>
        <w:bottom w:val="none" w:sz="0" w:space="0" w:color="auto"/>
        <w:right w:val="none" w:sz="0" w:space="0" w:color="auto"/>
      </w:divBdr>
    </w:div>
    <w:div w:id="2005814228">
      <w:bodyDiv w:val="1"/>
      <w:marLeft w:val="0"/>
      <w:marRight w:val="0"/>
      <w:marTop w:val="0"/>
      <w:marBottom w:val="0"/>
      <w:divBdr>
        <w:top w:val="none" w:sz="0" w:space="0" w:color="auto"/>
        <w:left w:val="none" w:sz="0" w:space="0" w:color="auto"/>
        <w:bottom w:val="none" w:sz="0" w:space="0" w:color="auto"/>
        <w:right w:val="none" w:sz="0" w:space="0" w:color="auto"/>
      </w:divBdr>
    </w:div>
    <w:div w:id="2008828987">
      <w:bodyDiv w:val="1"/>
      <w:marLeft w:val="0"/>
      <w:marRight w:val="0"/>
      <w:marTop w:val="0"/>
      <w:marBottom w:val="0"/>
      <w:divBdr>
        <w:top w:val="none" w:sz="0" w:space="0" w:color="auto"/>
        <w:left w:val="none" w:sz="0" w:space="0" w:color="auto"/>
        <w:bottom w:val="none" w:sz="0" w:space="0" w:color="auto"/>
        <w:right w:val="none" w:sz="0" w:space="0" w:color="auto"/>
      </w:divBdr>
      <w:divsChild>
        <w:div w:id="1908415830">
          <w:marLeft w:val="0"/>
          <w:marRight w:val="0"/>
          <w:marTop w:val="0"/>
          <w:marBottom w:val="0"/>
          <w:divBdr>
            <w:top w:val="none" w:sz="0" w:space="0" w:color="auto"/>
            <w:left w:val="none" w:sz="0" w:space="0" w:color="auto"/>
            <w:bottom w:val="none" w:sz="0" w:space="0" w:color="auto"/>
            <w:right w:val="none" w:sz="0" w:space="0" w:color="auto"/>
          </w:divBdr>
        </w:div>
      </w:divsChild>
    </w:div>
    <w:div w:id="2036299980">
      <w:bodyDiv w:val="1"/>
      <w:marLeft w:val="0"/>
      <w:marRight w:val="0"/>
      <w:marTop w:val="0"/>
      <w:marBottom w:val="0"/>
      <w:divBdr>
        <w:top w:val="none" w:sz="0" w:space="0" w:color="auto"/>
        <w:left w:val="none" w:sz="0" w:space="0" w:color="auto"/>
        <w:bottom w:val="none" w:sz="0" w:space="0" w:color="auto"/>
        <w:right w:val="none" w:sz="0" w:space="0" w:color="auto"/>
      </w:divBdr>
    </w:div>
    <w:div w:id="2047438357">
      <w:bodyDiv w:val="1"/>
      <w:marLeft w:val="0"/>
      <w:marRight w:val="0"/>
      <w:marTop w:val="0"/>
      <w:marBottom w:val="0"/>
      <w:divBdr>
        <w:top w:val="none" w:sz="0" w:space="0" w:color="auto"/>
        <w:left w:val="none" w:sz="0" w:space="0" w:color="auto"/>
        <w:bottom w:val="none" w:sz="0" w:space="0" w:color="auto"/>
        <w:right w:val="none" w:sz="0" w:space="0" w:color="auto"/>
      </w:divBdr>
      <w:divsChild>
        <w:div w:id="794982702">
          <w:marLeft w:val="0"/>
          <w:marRight w:val="0"/>
          <w:marTop w:val="0"/>
          <w:marBottom w:val="0"/>
          <w:divBdr>
            <w:top w:val="none" w:sz="0" w:space="0" w:color="auto"/>
            <w:left w:val="none" w:sz="0" w:space="0" w:color="auto"/>
            <w:bottom w:val="none" w:sz="0" w:space="0" w:color="auto"/>
            <w:right w:val="none" w:sz="0" w:space="0" w:color="auto"/>
          </w:divBdr>
        </w:div>
      </w:divsChild>
    </w:div>
    <w:div w:id="2063674771">
      <w:bodyDiv w:val="1"/>
      <w:marLeft w:val="0"/>
      <w:marRight w:val="0"/>
      <w:marTop w:val="0"/>
      <w:marBottom w:val="0"/>
      <w:divBdr>
        <w:top w:val="none" w:sz="0" w:space="0" w:color="auto"/>
        <w:left w:val="none" w:sz="0" w:space="0" w:color="auto"/>
        <w:bottom w:val="none" w:sz="0" w:space="0" w:color="auto"/>
        <w:right w:val="none" w:sz="0" w:space="0" w:color="auto"/>
      </w:divBdr>
      <w:divsChild>
        <w:div w:id="715465980">
          <w:marLeft w:val="0"/>
          <w:marRight w:val="0"/>
          <w:marTop w:val="0"/>
          <w:marBottom w:val="0"/>
          <w:divBdr>
            <w:top w:val="none" w:sz="0" w:space="0" w:color="auto"/>
            <w:left w:val="none" w:sz="0" w:space="0" w:color="auto"/>
            <w:bottom w:val="none" w:sz="0" w:space="0" w:color="auto"/>
            <w:right w:val="none" w:sz="0" w:space="0" w:color="auto"/>
          </w:divBdr>
        </w:div>
      </w:divsChild>
    </w:div>
    <w:div w:id="2087065439">
      <w:bodyDiv w:val="1"/>
      <w:marLeft w:val="0"/>
      <w:marRight w:val="0"/>
      <w:marTop w:val="0"/>
      <w:marBottom w:val="0"/>
      <w:divBdr>
        <w:top w:val="none" w:sz="0" w:space="0" w:color="auto"/>
        <w:left w:val="none" w:sz="0" w:space="0" w:color="auto"/>
        <w:bottom w:val="none" w:sz="0" w:space="0" w:color="auto"/>
        <w:right w:val="none" w:sz="0" w:space="0" w:color="auto"/>
      </w:divBdr>
      <w:divsChild>
        <w:div w:id="1111782314">
          <w:marLeft w:val="0"/>
          <w:marRight w:val="0"/>
          <w:marTop w:val="0"/>
          <w:marBottom w:val="0"/>
          <w:divBdr>
            <w:top w:val="none" w:sz="0" w:space="0" w:color="auto"/>
            <w:left w:val="none" w:sz="0" w:space="0" w:color="auto"/>
            <w:bottom w:val="none" w:sz="0" w:space="0" w:color="auto"/>
            <w:right w:val="none" w:sz="0" w:space="0" w:color="auto"/>
          </w:divBdr>
        </w:div>
      </w:divsChild>
    </w:div>
    <w:div w:id="2105108223">
      <w:bodyDiv w:val="1"/>
      <w:marLeft w:val="0"/>
      <w:marRight w:val="0"/>
      <w:marTop w:val="0"/>
      <w:marBottom w:val="0"/>
      <w:divBdr>
        <w:top w:val="none" w:sz="0" w:space="0" w:color="auto"/>
        <w:left w:val="none" w:sz="0" w:space="0" w:color="auto"/>
        <w:bottom w:val="none" w:sz="0" w:space="0" w:color="auto"/>
        <w:right w:val="none" w:sz="0" w:space="0" w:color="auto"/>
      </w:divBdr>
      <w:divsChild>
        <w:div w:id="13538726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kb.10xgenomics.com/hc/en-us/articles/360060415811-Can-I-remove-ambient-RNA-contamination-from-cells-in-my-gene-expression-data" TargetMode="External"/><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DE8A5A-53A1-9847-BEE5-B9604E2DC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15</Pages>
  <Words>1555</Words>
  <Characters>8866</Characters>
  <Application>Microsoft Office Word</Application>
  <DocSecurity>0</DocSecurity>
  <Lines>73</Lines>
  <Paragraphs>20</Paragraphs>
  <ScaleCrop>false</ScaleCrop>
  <Company/>
  <LinksUpToDate>false</LinksUpToDate>
  <CharactersWithSpaces>10401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 Yucai</dc:creator>
  <cp:keywords/>
  <dc:description/>
  <cp:lastModifiedBy>Fan, Yucai</cp:lastModifiedBy>
  <cp:revision>23</cp:revision>
  <dcterms:created xsi:type="dcterms:W3CDTF">2025-03-03T09:48:00Z</dcterms:created>
  <dcterms:modified xsi:type="dcterms:W3CDTF">2025-03-13T05:43:00Z</dcterms:modified>
</cp:coreProperties>
</file>