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1F83" w14:textId="6F74D5E1" w:rsidR="005E0053" w:rsidRDefault="005E0053" w:rsidP="005E0053">
      <w:pPr>
        <w:spacing w:after="120" w:line="240" w:lineRule="auto"/>
        <w:rPr>
          <w:rFonts w:ascii="Calibri" w:hAnsi="Calibri" w:cs="Calibri"/>
          <w:b/>
          <w:sz w:val="26"/>
        </w:rPr>
      </w:pPr>
      <w:r w:rsidRPr="005E0053">
        <w:rPr>
          <w:rFonts w:ascii="Calibri" w:hAnsi="Calibri" w:cs="Calibri"/>
          <w:b/>
          <w:sz w:val="26"/>
        </w:rPr>
        <w:t>Numbered Procedure List</w:t>
      </w:r>
    </w:p>
    <w:p w14:paraId="74F2A4C2" w14:textId="1BA790A7" w:rsidR="005E0053" w:rsidRDefault="005E0053" w:rsidP="005E0053">
      <w:pPr>
        <w:spacing w:after="80" w:line="240" w:lineRule="auto"/>
        <w:ind w:left="480" w:hanging="240"/>
        <w:rPr>
          <w:rFonts w:ascii="Calibri" w:hAnsi="Calibri" w:cs="Calibri"/>
          <w:sz w:val="22"/>
        </w:rPr>
      </w:pPr>
      <w:r w:rsidRPr="005E0053">
        <w:rPr>
          <w:rFonts w:ascii="Calibri" w:hAnsi="Calibri" w:cs="Calibri"/>
          <w:sz w:val="22"/>
        </w:rPr>
        <w:t>1.  Initialize the deterministic runtime engine</w:t>
      </w:r>
    </w:p>
    <w:p w14:paraId="0B985E8D" w14:textId="6F6FECD6" w:rsidR="005E0053" w:rsidRDefault="005E0053" w:rsidP="005E0053">
      <w:pPr>
        <w:spacing w:after="80" w:line="240" w:lineRule="auto"/>
        <w:ind w:left="480" w:hanging="240"/>
        <w:rPr>
          <w:rFonts w:ascii="Calibri" w:hAnsi="Calibri" w:cs="Calibri"/>
          <w:sz w:val="22"/>
        </w:rPr>
      </w:pPr>
      <w:r w:rsidRPr="005E0053">
        <w:rPr>
          <w:rFonts w:ascii="Calibri" w:hAnsi="Calibri" w:cs="Calibri"/>
          <w:sz w:val="22"/>
        </w:rPr>
        <w:t>2.  Extract canonical intermediate representation</w:t>
      </w:r>
    </w:p>
    <w:p w14:paraId="4488C676" w14:textId="4E32773B" w:rsidR="005E0053" w:rsidRDefault="005E0053" w:rsidP="005E0053">
      <w:pPr>
        <w:spacing w:after="80" w:line="240" w:lineRule="auto"/>
        <w:ind w:left="480" w:hanging="240"/>
        <w:rPr>
          <w:rFonts w:ascii="Calibri" w:hAnsi="Calibri" w:cs="Calibri"/>
          <w:sz w:val="22"/>
        </w:rPr>
      </w:pPr>
      <w:r w:rsidRPr="005E0053">
        <w:rPr>
          <w:rFonts w:ascii="Calibri" w:hAnsi="Calibri" w:cs="Calibri"/>
          <w:sz w:val="22"/>
        </w:rPr>
        <w:t>3.  Verify equivalence gates through multi-pass oracle</w:t>
      </w:r>
    </w:p>
    <w:p w14:paraId="1B0F4739" w14:textId="77777777" w:rsidR="005E0053" w:rsidRPr="005E0053" w:rsidRDefault="005E0053" w:rsidP="005E0053">
      <w:pPr>
        <w:spacing w:after="80" w:line="240" w:lineRule="auto"/>
        <w:ind w:left="480" w:hanging="240"/>
        <w:rPr>
          <w:rFonts w:ascii="Calibri" w:hAnsi="Calibri" w:cs="Calibri"/>
          <w:sz w:val="22"/>
        </w:rPr>
      </w:pPr>
    </w:p>
    <w:sectPr w:rsidR="005E0053" w:rsidRPr="005E0053" w:rsidSect="005E0053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53"/>
    <w:rsid w:val="004F3283"/>
    <w:rsid w:val="005E005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5A2FA3"/>
  <w15:chartTrackingRefBased/>
  <w15:docId w15:val="{530CF352-FCD0-470C-BD55-ABDF4498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E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00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00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00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00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00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00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00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E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E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E00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5E00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E00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E00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E00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E00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E005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E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E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00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5E005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5E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E00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00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00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E00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E0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5</Lines>
  <Paragraphs>5</Paragraphs>
  <ScaleCrop>false</ScaleCrop>
  <Company>Eylias Sharar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