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89C5" w14:textId="121C1400" w:rsidR="0032078E" w:rsidRDefault="0032078E" w:rsidP="0032078E">
      <w:pPr>
        <w:spacing w:after="120" w:line="240" w:lineRule="auto"/>
        <w:rPr>
          <w:rFonts w:ascii="Calibri" w:hAnsi="Calibri" w:cs="Calibri"/>
          <w:b/>
          <w:sz w:val="26"/>
        </w:rPr>
      </w:pPr>
      <w:r w:rsidRPr="0032078E">
        <w:rPr>
          <w:rFonts w:ascii="Calibri" w:hAnsi="Calibri" w:cs="Calibri"/>
          <w:b/>
          <w:sz w:val="26"/>
        </w:rPr>
        <w:t>Simple 2x2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32078E" w14:paraId="2B1253C7" w14:textId="77777777" w:rsidTr="0032078E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35ACCC8" w14:textId="40C0DDC5" w:rsidR="0032078E" w:rsidRPr="0032078E" w:rsidRDefault="0032078E" w:rsidP="0032078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2078E">
              <w:rPr>
                <w:rFonts w:ascii="Calibri" w:hAnsi="Calibri" w:cs="Calibri"/>
                <w:b/>
                <w:sz w:val="20"/>
              </w:rPr>
              <w:t>Header A</w:t>
            </w:r>
          </w:p>
        </w:tc>
        <w:tc>
          <w:tcPr>
            <w:tcW w:w="4680" w:type="dxa"/>
          </w:tcPr>
          <w:p w14:paraId="4D6EB493" w14:textId="4208B54B" w:rsidR="0032078E" w:rsidRPr="0032078E" w:rsidRDefault="0032078E" w:rsidP="0032078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2078E">
              <w:rPr>
                <w:rFonts w:ascii="Calibri" w:hAnsi="Calibri" w:cs="Calibri"/>
                <w:b/>
                <w:sz w:val="20"/>
              </w:rPr>
              <w:t>Header B</w:t>
            </w:r>
          </w:p>
        </w:tc>
      </w:tr>
      <w:tr w:rsidR="0032078E" w14:paraId="6D8FCD38" w14:textId="77777777" w:rsidTr="0032078E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24D41A" w14:textId="631FD935" w:rsidR="0032078E" w:rsidRPr="0032078E" w:rsidRDefault="0032078E" w:rsidP="0032078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2078E">
              <w:rPr>
                <w:rFonts w:ascii="Calibri" w:hAnsi="Calibri" w:cs="Calibri"/>
                <w:b/>
                <w:sz w:val="20"/>
              </w:rPr>
              <w:t>Val 1</w:t>
            </w:r>
          </w:p>
        </w:tc>
        <w:tc>
          <w:tcPr>
            <w:tcW w:w="4680" w:type="dxa"/>
          </w:tcPr>
          <w:p w14:paraId="14E9EF58" w14:textId="57DCB3B9" w:rsidR="0032078E" w:rsidRPr="0032078E" w:rsidRDefault="0032078E" w:rsidP="0032078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32078E">
              <w:rPr>
                <w:rFonts w:ascii="Calibri" w:hAnsi="Calibri" w:cs="Calibri"/>
                <w:b/>
                <w:sz w:val="20"/>
              </w:rPr>
              <w:t>Val 2</w:t>
            </w:r>
          </w:p>
        </w:tc>
      </w:tr>
    </w:tbl>
    <w:p w14:paraId="3029547A" w14:textId="77777777" w:rsidR="0032078E" w:rsidRPr="0032078E" w:rsidRDefault="0032078E" w:rsidP="0032078E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32078E" w:rsidRPr="0032078E" w:rsidSect="0032078E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8E"/>
    <w:rsid w:val="0032078E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270E8F"/>
  <w15:chartTrackingRefBased/>
  <w15:docId w15:val="{AFCF40E0-71F0-4D0F-AAD1-BDC22834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2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07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07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07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07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07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07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07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2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2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207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3207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207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207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207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207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2078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2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2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07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32078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32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207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07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07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207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0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2</Paragraphs>
  <ScaleCrop>false</ScaleCrop>
  <Company>Eylias Sharar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