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C44D" w14:textId="77777777" w:rsidR="0080456A" w:rsidRDefault="0080456A">
      <w:r>
        <w:t>CONSOLIDATED QUARTERLY LIQUIDITY AND ASSET ALLOCATION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456A" w14:paraId="31B58597" w14:textId="77777777" w:rsidTr="0080456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5F54F1A" w14:textId="07F1F9E6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Asset Class</w:t>
            </w:r>
          </w:p>
        </w:tc>
        <w:tc>
          <w:tcPr>
            <w:tcW w:w="2340" w:type="dxa"/>
          </w:tcPr>
          <w:p w14:paraId="3EE874AF" w14:textId="690CA520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Q1 Allocation</w:t>
            </w:r>
          </w:p>
        </w:tc>
        <w:tc>
          <w:tcPr>
            <w:tcW w:w="2340" w:type="dxa"/>
          </w:tcPr>
          <w:p w14:paraId="76D1280D" w14:textId="25279BC9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Q2 Allocation</w:t>
            </w:r>
          </w:p>
        </w:tc>
        <w:tc>
          <w:tcPr>
            <w:tcW w:w="2340" w:type="dxa"/>
          </w:tcPr>
          <w:p w14:paraId="50FA69B1" w14:textId="7B903BB8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Variance</w:t>
            </w:r>
          </w:p>
        </w:tc>
      </w:tr>
      <w:tr w:rsidR="0080456A" w14:paraId="050C4729" w14:textId="77777777" w:rsidTr="0080456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BD2C6FA" w14:textId="674FE98B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Cash &amp; Equiv</w:t>
            </w:r>
          </w:p>
        </w:tc>
        <w:tc>
          <w:tcPr>
            <w:tcW w:w="2340" w:type="dxa"/>
          </w:tcPr>
          <w:p w14:paraId="0028257D" w14:textId="7FBF6251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$1,450,000</w:t>
            </w:r>
          </w:p>
        </w:tc>
        <w:tc>
          <w:tcPr>
            <w:tcW w:w="2340" w:type="dxa"/>
          </w:tcPr>
          <w:p w14:paraId="1F32D686" w14:textId="6C2BC20C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$1,620,000</w:t>
            </w:r>
          </w:p>
        </w:tc>
        <w:tc>
          <w:tcPr>
            <w:tcW w:w="2340" w:type="dxa"/>
          </w:tcPr>
          <w:p w14:paraId="7C5C894D" w14:textId="65C033AE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+11.7%</w:t>
            </w:r>
          </w:p>
        </w:tc>
      </w:tr>
      <w:tr w:rsidR="0080456A" w14:paraId="0EBE56AE" w14:textId="77777777" w:rsidTr="0080456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312B0DC" w14:textId="198B74A7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Sovereign Debt</w:t>
            </w:r>
          </w:p>
        </w:tc>
        <w:tc>
          <w:tcPr>
            <w:tcW w:w="2340" w:type="dxa"/>
          </w:tcPr>
          <w:p w14:paraId="3F17ADE8" w14:textId="1606E75D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$4,200,000</w:t>
            </w:r>
          </w:p>
        </w:tc>
        <w:tc>
          <w:tcPr>
            <w:tcW w:w="2340" w:type="dxa"/>
          </w:tcPr>
          <w:p w14:paraId="0A7769C9" w14:textId="21E69335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$3,950,000</w:t>
            </w:r>
          </w:p>
        </w:tc>
        <w:tc>
          <w:tcPr>
            <w:tcW w:w="2340" w:type="dxa"/>
          </w:tcPr>
          <w:p w14:paraId="222208F5" w14:textId="25AA297A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-5.9%</w:t>
            </w:r>
          </w:p>
        </w:tc>
      </w:tr>
      <w:tr w:rsidR="0080456A" w14:paraId="691947A2" w14:textId="77777777" w:rsidTr="0080456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710031D" w14:textId="0C060344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Corporate Debt</w:t>
            </w:r>
          </w:p>
        </w:tc>
        <w:tc>
          <w:tcPr>
            <w:tcW w:w="2340" w:type="dxa"/>
          </w:tcPr>
          <w:p w14:paraId="7C544852" w14:textId="5DB8084A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$2,800,000</w:t>
            </w:r>
          </w:p>
        </w:tc>
        <w:tc>
          <w:tcPr>
            <w:tcW w:w="2340" w:type="dxa"/>
          </w:tcPr>
          <w:p w14:paraId="48677B5B" w14:textId="7822EEBF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$2,910,000</w:t>
            </w:r>
          </w:p>
        </w:tc>
        <w:tc>
          <w:tcPr>
            <w:tcW w:w="2340" w:type="dxa"/>
          </w:tcPr>
          <w:p w14:paraId="44F43EC8" w14:textId="6F2E1CDB" w:rsidR="0080456A" w:rsidRPr="0080456A" w:rsidRDefault="0080456A" w:rsidP="0080456A">
            <w:pPr>
              <w:spacing w:after="80"/>
              <w:rPr>
                <w:rFonts w:ascii="Calibri" w:hAnsi="Calibri" w:cs="Calibri"/>
                <w:sz w:val="19"/>
              </w:rPr>
            </w:pPr>
            <w:r w:rsidRPr="0080456A">
              <w:rPr>
                <w:rFonts w:ascii="Calibri" w:hAnsi="Calibri" w:cs="Calibri"/>
                <w:sz w:val="19"/>
              </w:rPr>
              <w:t>+3.9%</w:t>
            </w:r>
          </w:p>
        </w:tc>
      </w:tr>
      <w:tr w:rsidR="0080456A" w14:paraId="0A4158A2" w14:textId="77777777" w:rsidTr="0080456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9DE0EE9" w14:textId="5715E6FB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Total Assets</w:t>
            </w:r>
          </w:p>
        </w:tc>
        <w:tc>
          <w:tcPr>
            <w:tcW w:w="2340" w:type="dxa"/>
          </w:tcPr>
          <w:p w14:paraId="26EEBA31" w14:textId="7E4B1AE6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$8,450,000</w:t>
            </w:r>
          </w:p>
        </w:tc>
        <w:tc>
          <w:tcPr>
            <w:tcW w:w="2340" w:type="dxa"/>
          </w:tcPr>
          <w:p w14:paraId="2F69B076" w14:textId="2253E317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$8,480,000</w:t>
            </w:r>
          </w:p>
        </w:tc>
        <w:tc>
          <w:tcPr>
            <w:tcW w:w="2340" w:type="dxa"/>
          </w:tcPr>
          <w:p w14:paraId="04A35D5D" w14:textId="073BB4D0" w:rsidR="0080456A" w:rsidRPr="0080456A" w:rsidRDefault="0080456A" w:rsidP="0080456A">
            <w:pPr>
              <w:spacing w:after="80"/>
              <w:rPr>
                <w:rFonts w:ascii="Calibri" w:hAnsi="Calibri" w:cs="Calibri"/>
                <w:b/>
                <w:sz w:val="19"/>
              </w:rPr>
            </w:pPr>
            <w:r w:rsidRPr="0080456A">
              <w:rPr>
                <w:rFonts w:ascii="Calibri" w:hAnsi="Calibri" w:cs="Calibri"/>
                <w:b/>
                <w:sz w:val="19"/>
              </w:rPr>
              <w:t>+0.3%</w:t>
            </w:r>
          </w:p>
        </w:tc>
      </w:tr>
    </w:tbl>
    <w:p w14:paraId="4A4641AC" w14:textId="77777777" w:rsidR="0080456A" w:rsidRDefault="0080456A" w:rsidP="0080456A">
      <w:pPr>
        <w:spacing w:after="80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All allocation variances remain within statutory macro-prudential thresholds.</w:t>
      </w:r>
    </w:p>
    <w:p w14:paraId="0A5B4E21" w14:textId="6BD0F4A5" w:rsidR="0080456A" w:rsidRPr="0080456A" w:rsidRDefault="0080456A" w:rsidP="0080456A">
      <w:pPr>
        <w:spacing w:after="80"/>
        <w:rPr>
          <w:rFonts w:ascii="Calibri" w:hAnsi="Calibri" w:cs="Calibri"/>
          <w:b/>
          <w:sz w:val="20"/>
        </w:rPr>
      </w:pPr>
    </w:p>
    <w:sectPr w:rsidR="0080456A" w:rsidRPr="0080456A" w:rsidSect="0080456A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6A"/>
    <w:rsid w:val="00054DE6"/>
    <w:rsid w:val="004F3283"/>
    <w:rsid w:val="0080456A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1CE8C"/>
  <w15:chartTrackingRefBased/>
  <w15:docId w15:val="{BEF295E4-CC42-4DA7-8AC1-C5064624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0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4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5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5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5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4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8045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4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4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4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4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4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80456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80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45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5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5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45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320</Characters>
  <Application>Microsoft Office Word</Application>
  <DocSecurity>0</DocSecurity>
  <Lines>6</Lines>
  <Paragraphs>3</Paragraphs>
  <ScaleCrop>false</ScaleCrop>
  <Company>Eylias Sharar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2026-09-13T18:07:00Z</dcterms:created>
  <dcterms:modified xsi:type="dcterms:W3CDTF">2026-09-13T18:07:00Z</dcterms:modified>
</cp:coreProperties>
</file>