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E45E" w14:textId="77777777" w:rsidR="00795902" w:rsidRDefault="00795902">
      <w:r>
        <w:t>EXECUTIVE SUMMARY AND REGULATORY COMPLIANCE MEMORANDUM</w:t>
      </w:r>
    </w:p>
    <w:p w14:paraId="09755E83" w14:textId="77777777" w:rsidR="00795902" w:rsidRDefault="00795902" w:rsidP="00795902">
      <w:pPr>
        <w:spacing w:after="4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 Jurisdictional Scope and Enforcement Priorities</w:t>
      </w:r>
    </w:p>
    <w:p w14:paraId="0DD3BF53" w14:textId="77777777" w:rsidR="00795902" w:rsidRDefault="00795902" w:rsidP="00795902">
      <w:pPr>
        <w:spacing w:after="40" w:line="240" w:lineRule="auto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This memorandum establishes the formal supervisory expectations applicable to designated institutions under Article 4. All regulated entities must maintain audit trails.</w:t>
      </w:r>
    </w:p>
    <w:p w14:paraId="23E4A255" w14:textId="77777777" w:rsidR="00795902" w:rsidRDefault="00795902" w:rsidP="00795902">
      <w:pPr>
        <w:spacing w:after="4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Failure to comply with mandatory reporting schedules will trigger administrative penalties under Section 12. Continued non-compliance warrants revocation of operating authority.</w:t>
      </w:r>
    </w:p>
    <w:p w14:paraId="55EC2976" w14:textId="77777777" w:rsidR="00795902" w:rsidRDefault="00795902" w:rsidP="00795902">
      <w:pPr>
        <w:spacing w:after="40" w:line="240" w:lineRule="auto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Capital Adequacy and Liquidity Reserve Ratios</w:t>
      </w:r>
    </w:p>
    <w:p w14:paraId="66CC33E0" w14:textId="77777777" w:rsidR="00795902" w:rsidRDefault="00795902" w:rsidP="00795902">
      <w:pPr>
        <w:spacing w:after="40" w:line="240" w:lineRule="auto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Core capital reserves must exceed the prescribed risk-weighted threshold at all reporting dates. Tier 1 assets shall be maintained in liquid sovereign instruments.</w:t>
      </w:r>
    </w:p>
    <w:p w14:paraId="64E42D24" w14:textId="20A4A149" w:rsidR="00795902" w:rsidRPr="00795902" w:rsidRDefault="00795902" w:rsidP="00795902">
      <w:pPr>
        <w:spacing w:after="40" w:line="240" w:lineRule="auto"/>
        <w:rPr>
          <w:rFonts w:ascii="Calibri" w:hAnsi="Calibri" w:cs="Calibri"/>
          <w:sz w:val="22"/>
        </w:rPr>
      </w:pPr>
    </w:p>
    <w:sectPr w:rsidR="00795902" w:rsidRPr="00795902" w:rsidSect="00795902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02"/>
    <w:rsid w:val="00054DE6"/>
    <w:rsid w:val="004F3283"/>
    <w:rsid w:val="00795902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CF53A"/>
  <w15:chartTrackingRefBased/>
  <w15:docId w15:val="{5CC6D40B-787B-4FCB-AC59-F701E8C8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9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9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95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959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7959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959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959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959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959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9590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9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79590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79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959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9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9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959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>Eylias Sharar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2026-09-13T18:06:00Z</dcterms:created>
  <dcterms:modified xsi:type="dcterms:W3CDTF">2026-09-13T18:06:00Z</dcterms:modified>
</cp:coreProperties>
</file>