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143D" w14:textId="3D6E5DB9" w:rsidR="0032206F" w:rsidRDefault="0032206F" w:rsidP="0032206F">
      <w:pPr>
        <w:spacing w:after="240"/>
        <w:rPr>
          <w:b/>
          <w:sz w:val="32"/>
        </w:rPr>
      </w:pPr>
      <w:r w:rsidRPr="0032206F">
        <w:rPr>
          <w:b/>
          <w:sz w:val="32"/>
        </w:rPr>
        <w:t>Advanced Typographic Specification and Formatting</w:t>
      </w:r>
    </w:p>
    <w:p w14:paraId="785D7739" w14:textId="34B3C264" w:rsidR="0032206F" w:rsidRDefault="0032206F" w:rsidP="0032206F">
      <w:pPr>
        <w:spacing w:after="200"/>
        <w:rPr>
          <w:sz w:val="24"/>
        </w:rPr>
      </w:pPr>
      <w:r w:rsidRPr="0032206F">
        <w:rPr>
          <w:sz w:val="24"/>
        </w:rPr>
        <w:t xml:space="preserve">This section validates that </w:t>
      </w:r>
      <w:r w:rsidRPr="0032206F">
        <w:rPr>
          <w:b/>
          <w:sz w:val="24"/>
        </w:rPr>
        <w:t>mixed bold runs</w:t>
      </w:r>
      <w:r w:rsidRPr="0032206F">
        <w:rPr>
          <w:sz w:val="24"/>
        </w:rPr>
        <w:t xml:space="preserve">, </w:t>
      </w:r>
      <w:r w:rsidRPr="0032206F">
        <w:rPr>
          <w:i/>
          <w:sz w:val="24"/>
        </w:rPr>
        <w:t>italic expressions</w:t>
      </w:r>
      <w:r w:rsidRPr="0032206F">
        <w:rPr>
          <w:sz w:val="24"/>
        </w:rPr>
        <w:t>, and subset font families are preserved with high fidelity.</w:t>
      </w:r>
    </w:p>
    <w:p w14:paraId="4DD7D652" w14:textId="6C45D4E3" w:rsidR="0032206F" w:rsidRDefault="0032206F" w:rsidP="0032206F">
      <w:pPr>
        <w:spacing w:before="280"/>
        <w:rPr>
          <w:rFonts w:ascii="Calibri" w:hAnsi="Calibri" w:cs="Calibri"/>
          <w:sz w:val="22"/>
        </w:rPr>
      </w:pPr>
      <w:r w:rsidRPr="0032206F">
        <w:rPr>
          <w:rFonts w:ascii="Calibri" w:hAnsi="Calibri" w:cs="Calibri"/>
          <w:sz w:val="22"/>
        </w:rPr>
        <w:t>Deterministic extraction ensures that document topology remains invariant under format migration.</w:t>
      </w:r>
    </w:p>
    <w:p w14:paraId="31A33FDF" w14:textId="77777777" w:rsidR="0032206F" w:rsidRPr="0032206F" w:rsidRDefault="0032206F" w:rsidP="0032206F">
      <w:pPr>
        <w:spacing w:before="280"/>
        <w:rPr>
          <w:rFonts w:ascii="Calibri" w:hAnsi="Calibri" w:cs="Calibri"/>
          <w:sz w:val="22"/>
        </w:rPr>
      </w:pPr>
    </w:p>
    <w:sectPr w:rsidR="0032206F" w:rsidRPr="0032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6F"/>
    <w:rsid w:val="0032206F"/>
    <w:rsid w:val="004F3283"/>
    <w:rsid w:val="008A02A0"/>
    <w:rsid w:val="00E142C8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B7212"/>
  <w15:chartTrackingRefBased/>
  <w15:docId w15:val="{3FDEA883-7CF0-4285-8204-6C0FF487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2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0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0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0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0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0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0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0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2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2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220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220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220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220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220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220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2206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2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2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0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2206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2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220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0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0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220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Eylias Sharar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2026-09-13T17:23:00Z</cp:lastPrinted>
  <dcterms:created xsi:type="dcterms:W3CDTF">2026-09-13T17:23:00Z</dcterms:created>
  <dcterms:modified xsi:type="dcterms:W3CDTF">2026-09-13T17:23:00Z</dcterms:modified>
</cp:coreProperties>
</file>