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8C74E" w14:textId="1A92FB04" w:rsidR="00D4577A" w:rsidRDefault="00D4577A" w:rsidP="00D4577A">
      <w:pPr>
        <w:spacing w:after="120"/>
        <w:jc w:val="center"/>
        <w:rPr>
          <w:b/>
          <w:sz w:val="30"/>
        </w:rPr>
      </w:pPr>
      <w:r w:rsidRPr="00D4577A">
        <w:rPr>
          <w:b/>
          <w:sz w:val="30"/>
        </w:rPr>
        <w:t>Stochastic Boundary Analysis in High-Dimensional Search Spaces</w:t>
      </w:r>
    </w:p>
    <w:p w14:paraId="6D624CC7" w14:textId="6F28576A" w:rsidR="00D4577A" w:rsidRDefault="00D4577A" w:rsidP="00D4577A">
      <w:pPr>
        <w:spacing w:after="60"/>
        <w:jc w:val="center"/>
        <w:rPr>
          <w:i/>
          <w:sz w:val="22"/>
        </w:rPr>
      </w:pPr>
      <w:r w:rsidRPr="00D4577A">
        <w:rPr>
          <w:i/>
          <w:sz w:val="22"/>
        </w:rPr>
        <w:t>A. Turing, J. von Neumann, and C. Shannon</w:t>
      </w:r>
    </w:p>
    <w:p w14:paraId="143E19B3" w14:textId="2D6C96DC" w:rsidR="00D4577A" w:rsidRDefault="00D4577A" w:rsidP="00D4577A">
      <w:pPr>
        <w:spacing w:after="240"/>
        <w:jc w:val="center"/>
        <w:rPr>
          <w:sz w:val="20"/>
        </w:rPr>
      </w:pPr>
      <w:r w:rsidRPr="00D4577A">
        <w:rPr>
          <w:sz w:val="20"/>
        </w:rPr>
        <w:t>Department of Theoretical Cybernetics &amp; Advanced Computation</w:t>
      </w:r>
    </w:p>
    <w:p w14:paraId="163C0124" w14:textId="1704734F" w:rsidR="00D4577A" w:rsidRDefault="00D4577A" w:rsidP="00D4577A">
      <w:pPr>
        <w:spacing w:after="80"/>
        <w:jc w:val="center"/>
        <w:rPr>
          <w:b/>
          <w:sz w:val="24"/>
        </w:rPr>
      </w:pPr>
      <w:r w:rsidRPr="00D4577A">
        <w:rPr>
          <w:b/>
          <w:sz w:val="24"/>
        </w:rPr>
        <w:t>Abstract</w:t>
      </w:r>
    </w:p>
    <w:p w14:paraId="382B2C8F" w14:textId="6B593A58" w:rsidR="00D4577A" w:rsidRDefault="00D4577A" w:rsidP="00D4577A">
      <w:pPr>
        <w:jc w:val="both"/>
        <w:rPr>
          <w:sz w:val="22"/>
        </w:rPr>
      </w:pPr>
      <w:r w:rsidRPr="00D4577A">
        <w:rPr>
          <w:sz w:val="22"/>
        </w:rPr>
        <w:t>We formalize asymptotic bounds for stochastic parameters alpha, beta, mu, sigma, and Delta. The empirical landscape guarantees convergence under monotonic selection criteria.</w:t>
      </w:r>
    </w:p>
    <w:p w14:paraId="3990EC1F" w14:textId="07BF20CE" w:rsidR="00D4577A" w:rsidRDefault="00D4577A" w:rsidP="00D4577A">
      <w:pPr>
        <w:spacing w:after="120"/>
        <w:rPr>
          <w:i/>
          <w:sz w:val="20"/>
        </w:rPr>
      </w:pPr>
      <w:r w:rsidRPr="00D4577A">
        <w:rPr>
          <w:i/>
          <w:sz w:val="20"/>
        </w:rPr>
        <w:t>Keywords: Evolutionary Optimization, Multi-Gate Verification, Canonical Equivalence</w:t>
      </w:r>
    </w:p>
    <w:p w14:paraId="0176F6AB" w14:textId="77777777" w:rsidR="00D4577A" w:rsidRPr="00D4577A" w:rsidRDefault="00D4577A" w:rsidP="00D4577A">
      <w:pPr>
        <w:spacing w:after="120"/>
        <w:rPr>
          <w:b/>
          <w:i/>
          <w:sz w:val="20"/>
        </w:rPr>
      </w:pPr>
    </w:p>
    <w:sectPr w:rsidR="00D4577A" w:rsidRPr="00D45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77A"/>
    <w:rsid w:val="004F3283"/>
    <w:rsid w:val="00746734"/>
    <w:rsid w:val="008A02A0"/>
    <w:rsid w:val="00D4577A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BF1043"/>
  <w15:chartTrackingRefBased/>
  <w15:docId w15:val="{A24D33C1-2BFD-4ED3-A148-DC7CAE0C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D4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57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57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57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57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57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57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57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45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45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457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D457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457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457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457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457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4577A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4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4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57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D4577A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D4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457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57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57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5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457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5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370</Characters>
  <Application>Microsoft Office Word</Application>
  <DocSecurity>0</DocSecurity>
  <Lines>26</Lines>
  <Paragraphs>27</Paragraphs>
  <ScaleCrop>false</ScaleCrop>
  <Company>Eylias Sharar</Company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2026-09-13T17:44:00Z</cp:lastPrinted>
  <dcterms:created xsi:type="dcterms:W3CDTF">2026-09-13T17:44:00Z</dcterms:created>
  <dcterms:modified xsi:type="dcterms:W3CDTF">2026-09-13T17:44:00Z</dcterms:modified>
</cp:coreProperties>
</file>