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2023-10-11/2024-04-17</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30" w:name="welcome-to-linker.bio"/>
    <w:p>
      <w:pPr>
        <w:pStyle w:val="Heading2"/>
      </w:pPr>
      <w:r>
        <w:t xml:space="preserve">Welcome to linker.bio</w:t>
      </w:r>
    </w:p>
    <w:p>
      <w:pPr>
        <w:pStyle w:val="FirstParagraph"/>
      </w:pPr>
      <w:r>
        <w:t xml:space="preserve">The internet is a powerful tool for exchanging digital information. But the Internet’s contents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from which a resource, like a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30"/>
    <w:bookmarkStart w:id="31"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we asked for.</w:t>
      </w:r>
    </w:p>
    <w:p>
      <w:pPr>
        <w:pStyle w:val="BodyText"/>
      </w:pPr>
      <w:r>
        <w:t xml:space="preserve">In asking for content using their unique digital fingerprint, the current Internet location of the content becomes secondary. More importantly, we can use digital fingerprints to refer to content regardless of the digital communication medium that happens to be in fashion now. In other words,</w:t>
      </w:r>
      <w:r>
        <w:t xml:space="preserve"> </w:t>
      </w:r>
      <w:r>
        <w:rPr>
          <w:iCs/>
          <w:i/>
        </w:rPr>
        <w:t xml:space="preserve">digital fingerprints help preserve references to digital content to a future (or past!) beyond the internet</w:t>
      </w:r>
      <w:r>
        <w:t xml:space="preserve">.</w:t>
      </w:r>
    </w:p>
    <w:bookmarkEnd w:id="31"/>
    <w:bookmarkStart w:id="33" w:name="the-content-verse"/>
    <w:p>
      <w:pPr>
        <w:pStyle w:val="Heading2"/>
      </w:pPr>
      <w:r>
        <w:t xml:space="preserve">The Content-Verse</w:t>
      </w:r>
      <w:r>
        <w:t xml:space="preserve"> </w:t>
      </w:r>
      <w:r>
        <w:rPr>
          <w:rStyle w:val="FootnoteReference"/>
        </w:rPr>
        <w:footnoteReference w:id="32"/>
      </w:r>
    </w:p>
    <w:p>
      <w:pPr>
        <w:pStyle w:val="BodyText"/>
      </w:pPr>
      <w:r>
        <w:t xml:space="preserve">This is where I’d like to introduce</w:t>
      </w:r>
      <w:r>
        <w:t xml:space="preserve"> </w:t>
      </w:r>
      <w:r>
        <w:rPr>
          <w:bCs/>
          <w:b/>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3"/>
    <w:bookmarkStart w:id="54"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4"/>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those pesky, unreliable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or expire</w:t>
      </w:r>
      <w:r>
        <w:t xml:space="preserve"> </w:t>
      </w:r>
      <w:r>
        <w:rPr>
          <w:rStyle w:val="FootnoteReference"/>
        </w:rPr>
        <w:footnoteReference w:id="41"/>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2"/>
      </w:r>
      <w:r>
        <w:t xml:space="preserve">, millions of Open Science publications through</w:t>
      </w:r>
      <w:r>
        <w:t xml:space="preserve"> </w:t>
      </w:r>
      <w:hyperlink r:id="rId49">
        <w:r>
          <w:rPr>
            <w:rStyle w:val="Hyperlink"/>
          </w:rPr>
          <w:t xml:space="preserve">Zenodo</w:t>
        </w:r>
      </w:hyperlink>
      <w:r>
        <w:t xml:space="preserve">, over eight hundred thousand datasets via</w:t>
      </w:r>
      <w:r>
        <w:t xml:space="preserve"> </w:t>
      </w:r>
      <w:hyperlink r:id="rId50">
        <w:r>
          <w:rPr>
            <w:rStyle w:val="Hyperlink"/>
          </w:rPr>
          <w:t xml:space="preserve">DataOne</w:t>
        </w:r>
      </w:hyperlink>
      <w:r>
        <w:t xml:space="preserve">, billions of open source files</w:t>
      </w:r>
      <w:r>
        <w:t xml:space="preserve"> </w:t>
      </w:r>
      <w:hyperlink r:id="rId51">
        <w:r>
          <w:rPr>
            <w:rStyle w:val="Hyperlink"/>
          </w:rPr>
          <w:t xml:space="preserve">Software Heritage Library</w:t>
        </w:r>
      </w:hyperlink>
      <w:r>
        <w:t xml:space="preserve">, and more than ninety seven million freely usable media files from</w:t>
      </w:r>
      <w:r>
        <w:t xml:space="preserve"> </w:t>
      </w:r>
      <w:hyperlink r:id="rId52">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3"/>
      </w:r>
      <w:r>
        <w:t xml:space="preserve">.</w:t>
      </w:r>
    </w:p>
    <w:bookmarkEnd w:id="54"/>
    <w:bookmarkStart w:id="56" w:name="X76a2af12f6797fb149974be321358d378d915df"/>
    <w:p>
      <w:pPr>
        <w:pStyle w:val="Heading2"/>
      </w:pPr>
      <w:r>
        <w:t xml:space="preserve">Unleashing Digital Knowledge Into The Future</w:t>
      </w:r>
    </w:p>
    <w:p>
      <w:pPr>
        <w:pStyle w:val="FirstParagraph"/>
      </w:pPr>
      <w:hyperlink r:id="rId55">
        <w:r>
          <w:rPr>
            <w:rStyle w:val="Hyperlink"/>
          </w:rPr>
          <w:t xml:space="preserve">Cassette tapes</w:t>
        </w:r>
      </w:hyperlink>
      <w:r>
        <w:t xml:space="preserve"> </w:t>
      </w:r>
      <w:r>
        <w:t xml:space="preserve">are still around since their introduction in the 1960s, but their use has dwindled over time. Similarly, the Internet is expected to give way for some other way to exchange content.</w:t>
      </w:r>
    </w:p>
    <w:p>
      <w:pPr>
        <w:pStyle w:val="BodyText"/>
      </w:pPr>
      <w:r>
        <w:t xml:space="preserve">Digital fingerprints are independent of content communication protocols or digital storage media popular today. This is why these fingerprints can refer to digital knowledge inside</w:t>
      </w:r>
      <w:r>
        <w:t xml:space="preserve"> </w:t>
      </w:r>
      <w:r>
        <w:rPr>
          <w:iCs/>
          <w:i/>
        </w:rPr>
        <w:t xml:space="preserve">and beyond</w:t>
      </w:r>
      <w:r>
        <w:t xml:space="preserve"> </w:t>
      </w:r>
      <w:r>
        <w:t xml:space="preserve">the Internet and into the future. So, by adopting fingerprints as digital content identifiers, we can help carry our digital knowledge into the future.</w:t>
      </w:r>
    </w:p>
    <w:bookmarkEnd w:id="56"/>
    <w:bookmarkStart w:id="58" w:name="acknowledgments"/>
    <w:p>
      <w:pPr>
        <w:pStyle w:val="Heading2"/>
      </w:pPr>
      <w:r>
        <w:t xml:space="preserve">Acknowledgments</w:t>
      </w:r>
    </w:p>
    <w:p>
      <w:pPr>
        <w:pStyle w:val="FirstParagraph"/>
      </w:pPr>
      <w:r>
        <w:t xml:space="preserve">Michael Elliott, José Fortes and</w:t>
      </w:r>
      <w:r>
        <w:t xml:space="preserve"> </w:t>
      </w:r>
      <w:hyperlink r:id="rId57">
        <w:r>
          <w:rPr>
            <w:rStyle w:val="Hyperlink"/>
          </w:rPr>
          <w:t xml:space="preserve">Cypress Hansen</w:t>
        </w:r>
      </w:hyperlink>
      <w:r>
        <w:t xml:space="preserve"> </w:t>
      </w:r>
      <w:r>
        <w:t xml:space="preserve">provided comments to help improve a description of todays internet and the benefits of the content-verse.</w:t>
      </w:r>
    </w:p>
    <w:bookmarkEnd w:id="58"/>
    <w:bookmarkStart w:id="94" w:name="appendix"/>
    <w:p>
      <w:pPr>
        <w:pStyle w:val="Heading1"/>
      </w:pPr>
      <w:r>
        <w:t xml:space="preserve">Appendix</w:t>
      </w:r>
    </w:p>
    <w:bookmarkStart w:id="64" w:name="X02ba8ef849677b1661f39dd732c38b90093b5c5"/>
    <w:p>
      <w:pPr>
        <w:pStyle w:val="Heading2"/>
      </w:pPr>
      <w:r>
        <w:t xml:space="preserve">Use Case 1: Requesting Content by Their Fingerprint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Start w:id="63" w:name="exploring-content-request-examples"/>
    <w:p>
      <w:pPr>
        <w:pStyle w:val="Heading3"/>
      </w:pPr>
      <w:r>
        <w:t xml:space="preserve">Exploring Content Request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9">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60">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61">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62">
        <w:r>
          <w:rPr>
            <w:rStyle w:val="Hyperlink"/>
          </w:rPr>
          <w:t xml:space="preserve">https://linker.bio/hash://sha256/3fee21854fb6d81573b166c833db2771b21f0c77daa3095aab542764d89c94c1</w:t>
        </w:r>
      </w:hyperlink>
      <w:r>
        <w:t xml:space="preserve">.</w:t>
      </w:r>
    </w:p>
    <w:bookmarkEnd w:id="63"/>
    <w:bookmarkEnd w:id="64"/>
    <w:bookmarkStart w:id="71" w:name="X34fcab2d6b521f516883196f09e5b9948c14a04"/>
    <w:p>
      <w:pPr>
        <w:pStyle w:val="Heading2"/>
      </w:pPr>
      <w:r>
        <w:t xml:space="preserve">Use Case 2: Retrieving a Bunny Picture Using Your Own</w:t>
      </w:r>
      <w:r>
        <w:t xml:space="preserve"> </w:t>
      </w:r>
      <w:r>
        <w:t xml:space="preserve">“</w:t>
      </w:r>
      <w:r>
        <w:t xml:space="preserve">linker.bio</w:t>
      </w:r>
      <w:r>
        <w:t xml:space="preserve">”</w:t>
      </w:r>
    </w:p>
    <w:p>
      <w:pPr>
        <w:pStyle w:val="FirstParagraph"/>
      </w:pPr>
      <w:r>
        <w:t xml:space="preserve">So far, https://linker.bio may appears to be a</w:t>
      </w:r>
      <w:r>
        <w:t xml:space="preserve"> </w:t>
      </w:r>
      <w:hyperlink r:id="rId65">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Now, you may wonder: how does</w:t>
      </w:r>
      <w:r>
        <w:t xml:space="preserve"> </w:t>
      </w:r>
      <w:r>
        <w:t xml:space="preserve">“</w:t>
      </w:r>
      <w:r>
        <w:t xml:space="preserve">linker.bio</w:t>
      </w:r>
      <w:r>
        <w:t xml:space="preserve">”</w:t>
      </w:r>
      <w:r>
        <w:t xml:space="preserve"> </w:t>
      </w:r>
      <w:r>
        <w:t xml:space="preserve">work? And, how could I build my own</w:t>
      </w:r>
      <w:r>
        <w:t xml:space="preserve"> </w:t>
      </w:r>
      <w:r>
        <w:t xml:space="preserve">“</w:t>
      </w:r>
      <w:r>
        <w:t xml:space="preserve">linker.bio</w:t>
      </w:r>
      <w:r>
        <w:t xml:space="preserve">”</w:t>
      </w:r>
      <w:r>
        <w:t xml:space="preserve">?</w:t>
      </w:r>
    </w:p>
    <w:p>
      <w:pPr>
        <w:pStyle w:val="BodyText"/>
      </w:pPr>
      <w:r>
        <w:rPr>
          <w:rStyle w:val="VerbatimChar"/>
        </w:rPr>
        <w:t xml:space="preserve">linker.bio</w:t>
      </w:r>
      <w:r>
        <w:t xml:space="preserve"> </w:t>
      </w:r>
      <w:r>
        <w:t xml:space="preserve">is powered by</w:t>
      </w:r>
      <w:r>
        <w:t xml:space="preserve"> </w:t>
      </w:r>
      <w:hyperlink r:id="rId66">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r>
        <w:rPr>
          <w:rStyle w:val="VerbatimChar"/>
        </w:rPr>
        <w:t xml:space="preserve">https://linker.bio/hash://sha1/86fa30f32d9c557ea5d2a768e9c3595d3abb17a2</w:t>
      </w:r>
      <w:r>
        <w:t xml:space="preserve">. And, if you know how to run a program on your computer, you can run your own machine (or server) that looks up that bunny picture. In other words, with some effort, you can build your own bridge without having to ask for permission or paying some kind of license fee</w:t>
      </w:r>
      <w:r>
        <w:rPr>
          <w:rStyle w:val="FootnoteReference"/>
        </w:rPr>
        <w:footnoteReference w:id="67"/>
      </w:r>
      <w:r>
        <w:t xml:space="preserve">.</w:t>
      </w:r>
    </w:p>
    <w:p>
      <w:pPr>
        <w:pStyle w:val="BodyText"/>
      </w:pPr>
      <w:r>
        <w:t xml:space="preserve">For the tech savvy, you can run Preston in server mode on linux/mac</w:t>
      </w:r>
      <w:r>
        <w:t xml:space="preserve"> </w:t>
      </w:r>
      <w:r>
        <w:rPr>
          <w:rStyle w:val="FootnoteReference"/>
        </w:rPr>
        <w:footnoteReference w:id="68"/>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r>
        <w:rPr>
          <w:rStyle w:val="VerbatimChar"/>
        </w:rPr>
        <w:t xml:space="preserve">http://localhost:8080/hash://sha1/86fa30f32d9c557ea5d2a768e9c3595d3abb17a2</w:t>
      </w:r>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 https://wikimedia.org 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69">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70">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1"/>
    <w:bookmarkStart w:id="82" w:name="X16357cb1c13cb96d4040b8156a62cde1a175c94"/>
    <w:p>
      <w:pPr>
        <w:pStyle w:val="Heading2"/>
      </w:pPr>
      <w:r>
        <w:t xml:space="preserve">Use Case 3: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2024-04-01</w:t>
            </w:r>
          </w:p>
        </w:tc>
        <w:tc>
          <w:tcPr/>
          <w:p>
            <w:pPr>
              <w:pStyle w:val="Compact"/>
              <w:jc w:val="left"/>
            </w:pPr>
            <w:r>
              <w:t xml:space="preserve">~3TB</w:t>
            </w:r>
          </w:p>
        </w:tc>
        <w:tc>
          <w:tcPr/>
          <w:p>
            <w:pPr>
              <w:pStyle w:val="Compact"/>
              <w:jc w:val="left"/>
            </w:pPr>
            <w:hyperlink r:id="rId72">
              <w:r>
                <w:rPr>
                  <w:rStyle w:val="Hyperlink"/>
                </w:rPr>
                <w:t xml:space="preserve">hash://sha256/37bdd8…</w:t>
              </w:r>
            </w:hyperlink>
          </w:p>
        </w:tc>
      </w:tr>
      <w:tr>
        <w:tc>
          <w:tcPr/>
          <w:p>
            <w:pPr>
              <w:pStyle w:val="Compact"/>
              <w:jc w:val="left"/>
            </w:pPr>
            <w:r>
              <w:t xml:space="preserve">ChecklistBank</w:t>
            </w:r>
          </w:p>
        </w:tc>
        <w:tc>
          <w:tcPr/>
          <w:p>
            <w:pPr>
              <w:pStyle w:val="Compact"/>
              <w:jc w:val="left"/>
            </w:pPr>
            <w:r>
              <w:t xml:space="preserve">2024-04-01</w:t>
            </w:r>
          </w:p>
        </w:tc>
        <w:tc>
          <w:tcPr/>
          <w:p>
            <w:pPr>
              <w:pStyle w:val="Compact"/>
              <w:jc w:val="left"/>
            </w:pPr>
            <w:r>
              <w:t xml:space="preserve">~30GB</w:t>
            </w:r>
          </w:p>
        </w:tc>
        <w:tc>
          <w:tcPr/>
          <w:p>
            <w:pPr>
              <w:pStyle w:val="Compact"/>
              <w:jc w:val="left"/>
            </w:pPr>
            <w:hyperlink r:id="rId73">
              <w:r>
                <w:rPr>
                  <w:rStyle w:val="Hyperlink"/>
                </w:rPr>
                <w:t xml:space="preserve">hash://sha256/00989c…</w:t>
              </w:r>
            </w:hyperlink>
          </w:p>
        </w:tc>
      </w:tr>
      <w:tr>
        <w:tc>
          <w:tcPr/>
          <w:p>
            <w:pPr>
              <w:pStyle w:val="Compact"/>
              <w:jc w:val="left"/>
            </w:pPr>
            <w:r>
              <w:t xml:space="preserve">Biodiversity Heritage Library</w:t>
            </w:r>
          </w:p>
        </w:tc>
        <w:tc>
          <w:tcPr/>
          <w:p>
            <w:pPr>
              <w:pStyle w:val="Compact"/>
              <w:jc w:val="left"/>
            </w:pPr>
            <w:r>
              <w:t xml:space="preserve">2024-04-01</w:t>
            </w:r>
          </w:p>
        </w:tc>
        <w:tc>
          <w:tcPr/>
          <w:p>
            <w:pPr>
              <w:pStyle w:val="Compact"/>
              <w:jc w:val="left"/>
            </w:pPr>
            <w:r>
              <w:t xml:space="preserve">~300GB</w:t>
            </w:r>
          </w:p>
        </w:tc>
        <w:tc>
          <w:tcPr/>
          <w:p>
            <w:pPr>
              <w:pStyle w:val="Compact"/>
              <w:jc w:val="left"/>
            </w:pPr>
            <w:hyperlink r:id="rId74">
              <w:r>
                <w:rPr>
                  <w:rStyle w:val="Hyperlink"/>
                </w:rPr>
                <w:t xml:space="preserve">hash://sha256/9afaca…</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5">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2024-03-12</w:t>
            </w:r>
          </w:p>
        </w:tc>
        <w:tc>
          <w:tcPr/>
          <w:p>
            <w:pPr>
              <w:pStyle w:val="Compact"/>
              <w:jc w:val="left"/>
            </w:pPr>
            <w:r>
              <w:t xml:space="preserve">10GB</w:t>
            </w:r>
          </w:p>
        </w:tc>
        <w:tc>
          <w:tcPr/>
          <w:p>
            <w:pPr>
              <w:pStyle w:val="Compact"/>
              <w:jc w:val="left"/>
            </w:pPr>
            <w:hyperlink r:id="rId76">
              <w:r>
                <w:rPr>
                  <w:rStyle w:val="Hyperlink"/>
                </w:rPr>
                <w:t xml:space="preserve">hash://md5/706450…</w:t>
              </w:r>
            </w:hyperlink>
          </w:p>
        </w:tc>
      </w:tr>
      <w:tr>
        <w:tc>
          <w:tcPr/>
          <w:p>
            <w:pPr>
              <w:pStyle w:val="Compact"/>
              <w:jc w:val="left"/>
            </w:pPr>
            <w:hyperlink r:id="rId77">
              <w:r>
                <w:rPr>
                  <w:rStyle w:val="Hyperlink"/>
                </w:rPr>
                <w:t xml:space="preserve">OpenAlex</w:t>
              </w:r>
            </w:hyperlink>
            <w:r>
              <w:rPr>
                <w:rStyle w:val="FootnoteReference"/>
              </w:rPr>
              <w:footnoteReference w:id="78"/>
            </w:r>
          </w:p>
        </w:tc>
        <w:tc>
          <w:tcPr/>
          <w:p>
            <w:pPr>
              <w:pStyle w:val="Compact"/>
              <w:jc w:val="left"/>
            </w:pPr>
            <w:r>
              <w:t xml:space="preserve">2023-11-01</w:t>
            </w:r>
          </w:p>
        </w:tc>
        <w:tc>
          <w:tcPr/>
          <w:p>
            <w:pPr>
              <w:pStyle w:val="Compact"/>
              <w:jc w:val="left"/>
            </w:pPr>
            <w:r>
              <w:t xml:space="preserve">~300GB</w:t>
            </w:r>
          </w:p>
        </w:tc>
        <w:tc>
          <w:tcPr/>
          <w:p>
            <w:pPr>
              <w:pStyle w:val="Compact"/>
              <w:jc w:val="left"/>
            </w:pPr>
            <w:hyperlink r:id="rId79">
              <w:r>
                <w:rPr>
                  <w:rStyle w:val="Hyperlink"/>
                </w:rPr>
                <w:t xml:space="preserve">hash://sha256/f19011…</w:t>
              </w:r>
            </w:hyperlink>
            <w:r>
              <w:rPr>
                <w:rStyle w:val="FootnoteReference"/>
              </w:rPr>
              <w:footnoteReference w:id="80"/>
            </w:r>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hash://sha256/a755...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hash://sha256/1205...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bookmarkEnd w:id="82"/>
    <w:bookmarkStart w:id="93" w:name="Xef3f6159c8365f44e3f1e15dc66a7817c8d52a4"/>
    <w:p>
      <w:pPr>
        <w:pStyle w:val="Heading2"/>
      </w:pPr>
      <w:r>
        <w:t xml:space="preserve">Use Case 4: Assessing FAIRness of Biodiversity Data</w:t>
      </w:r>
    </w:p>
    <w:p>
      <w:pPr>
        <w:pStyle w:val="FirstParagraph"/>
      </w:pPr>
      <w:r>
        <w:t xml:space="preserve">As a way to promote the mobility and usability of digital data, the FAIR principles</w:t>
      </w:r>
      <w:r>
        <w:t xml:space="preserve"> </w:t>
      </w:r>
      <w:r>
        <w:rPr>
          <w:rStyle w:val="FootnoteReference"/>
        </w:rPr>
        <w:footnoteReference w:id="83"/>
      </w:r>
      <w:r>
        <w:t xml:space="preserve"> </w:t>
      </w:r>
      <w:r>
        <w:t xml:space="preserve">have gained traction in the science community. In order for data to be FAIR, they have to be</w:t>
      </w:r>
      <w:r>
        <w:t xml:space="preserve"> </w:t>
      </w:r>
      <w:r>
        <w:t xml:space="preserve">“</w:t>
      </w:r>
      <w:r>
        <w:t xml:space="preserve">Findable</w:t>
      </w:r>
      <w:r>
        <w:t xml:space="preserve">”</w:t>
      </w:r>
      <w:r>
        <w:t xml:space="preserve">,</w:t>
      </w:r>
      <w:r>
        <w:t xml:space="preserve"> </w:t>
      </w:r>
      <w:r>
        <w:t xml:space="preserve">“</w:t>
      </w:r>
      <w:r>
        <w:t xml:space="preserve">Accessible</w:t>
      </w:r>
      <w:r>
        <w:t xml:space="preserve">”</w:t>
      </w:r>
      <w:r>
        <w:t xml:space="preserve">,</w:t>
      </w:r>
      <w:r>
        <w:t xml:space="preserve"> </w:t>
      </w:r>
      <w:r>
        <w:t xml:space="preserve">“</w:t>
      </w:r>
      <w:r>
        <w:t xml:space="preserve">Interoperable</w:t>
      </w:r>
      <w:r>
        <w:t xml:space="preserve">”</w:t>
      </w:r>
      <w:r>
        <w:t xml:space="preserve">, and</w:t>
      </w:r>
      <w:r>
        <w:t xml:space="preserve"> </w:t>
      </w:r>
      <w:r>
        <w:t xml:space="preserve">“</w:t>
      </w:r>
      <w:r>
        <w:t xml:space="preserve">Reusable.</w:t>
      </w:r>
      <w:r>
        <w:t xml:space="preserve">”</w:t>
      </w:r>
      <w:r>
        <w:t xml:space="preserve"> </w:t>
      </w:r>
      <w:r>
        <w:t xml:space="preserve">But what</w:t>
      </w:r>
      <w:r>
        <w:t xml:space="preserve"> </w:t>
      </w:r>
      <w:r>
        <w:rPr>
          <w:iCs/>
          <w:i/>
        </w:rPr>
        <w:t xml:space="preserve">exactly</w:t>
      </w:r>
      <w:r>
        <w:t xml:space="preserve"> </w:t>
      </w:r>
      <w:r>
        <w:t xml:space="preserve">does it mean to be FAIR? Who determines whether data is FAIR?</w:t>
      </w:r>
    </w:p>
    <w:p>
      <w:pPr>
        <w:pStyle w:val="BodyText"/>
      </w:pPr>
      <w:r>
        <w:t xml:space="preserve">Thousands of Darwin Core Archives</w:t>
      </w:r>
      <w:r>
        <w:t xml:space="preserve"> </w:t>
      </w:r>
      <w:r>
        <w:rPr>
          <w:rStyle w:val="FootnoteReference"/>
        </w:rPr>
        <w:footnoteReference w:id="84"/>
      </w:r>
      <w:r>
        <w:t xml:space="preserve"> </w:t>
      </w:r>
      <w:r>
        <w:t xml:space="preserve">(DwC-A) containing valuable biodiversity data are published by Natural History Collections (e.g., the Field Museum, the Museum of Southwestern Biology), Community Science Intiatives (e.g., iNaturalist, eBird), and Taxonomic Authorities (e.g., Integrated Taxonomic Information System (ITIS), World Register for Marine Species (WoRMS)). To increase their reach, many of these archives are registered with the Global Biodiversity Information Facility (https://gbif.org), Integrated Digitized Biocollections (iDigBio) or Ocean Biodiversity Information System (OBIS).</w:t>
      </w:r>
    </w:p>
    <w:p>
      <w:pPr>
        <w:pStyle w:val="BodyText"/>
      </w:pPr>
      <w:r>
        <w:t xml:space="preserve">Since 2018/2019</w:t>
      </w:r>
      <w:r>
        <w:rPr>
          <w:rStyle w:val="FootnoteReference"/>
        </w:rPr>
        <w:footnoteReference w:id="85"/>
      </w:r>
      <w:r>
        <w:t xml:space="preserve">, Preston processes have been tracking registered datasets in GBIF, iDigBio, and OBIS. Now, many years later, a wealth of data is available on which archives were registered with networks including, but not limited to, GBIF, iDigBio and OBIS. By sampling monthly, a detailed temporal record is kept on the origin and content of these archives. So, if an archive has left a trace in these registry records, the origanization that published the archive can say that their data is FAIR. They are FAIR because, the Preston tracking process was able to</w:t>
      </w:r>
      <w:r>
        <w:t xml:space="preserve"> </w:t>
      </w:r>
      <w:r>
        <w:rPr>
          <w:iCs/>
          <w:i/>
        </w:rPr>
        <w:t xml:space="preserve">F</w:t>
      </w:r>
      <w:r>
        <w:t xml:space="preserve">ind the archive in a registry,</w:t>
      </w:r>
      <w:r>
        <w:t xml:space="preserve"> </w:t>
      </w:r>
      <w:r>
        <w:rPr>
          <w:iCs/>
          <w:i/>
        </w:rPr>
        <w:t xml:space="preserve">A</w:t>
      </w:r>
      <w:r>
        <w:t xml:space="preserve">ccess their associated content, show their</w:t>
      </w:r>
      <w:r>
        <w:t xml:space="preserve"> </w:t>
      </w:r>
      <w:r>
        <w:rPr>
          <w:iCs/>
          <w:i/>
        </w:rPr>
        <w:t xml:space="preserve">I</w:t>
      </w:r>
      <w:r>
        <w:t xml:space="preserve">nteroperability through their adoption on a recognized standard, DwC-A, and was able to</w:t>
      </w:r>
      <w:r>
        <w:t xml:space="preserve"> </w:t>
      </w:r>
      <w:r>
        <w:rPr>
          <w:iCs/>
          <w:i/>
        </w:rPr>
        <w:t xml:space="preserve">R</w:t>
      </w:r>
      <w:r>
        <w:t xml:space="preserve">euse the archive by keeping versioned copies as proof of registration.</w:t>
      </w:r>
    </w:p>
    <w:p>
      <w:pPr>
        <w:pStyle w:val="BodyText"/>
      </w:pPr>
      <w:r>
        <w:t xml:space="preserve">To make it easier to see whether an archive is FAIR according to the methods describe above, you can get your FAIR assessment badge using:</w:t>
      </w:r>
    </w:p>
    <w:p>
      <w:pPr>
        <w:pStyle w:val="BodyText"/>
      </w:pPr>
      <w:r>
        <w:t xml:space="preserve">https://linker.bio/badge/[your archive DOI/UUID/URL]</w:t>
      </w:r>
    </w:p>
    <w:p>
      <w:pPr>
        <w:pStyle w:val="BodyText"/>
      </w:pPr>
      <w:r>
        <w:t xml:space="preserve">For instance, the University of Santa Barbara’s Invertebrate Zoology Collection (UCSB-IZC) has registered the location of their archive (i.e.,</w:t>
      </w:r>
      <w:r>
        <w:t xml:space="preserve"> </w:t>
      </w:r>
      <w:r>
        <w:rPr>
          <w:rStyle w:val="VerbatimChar"/>
        </w:rPr>
        <w:t xml:space="preserve">https://ecdysis.org/content/dwca/UCSB-IZC_DwC-A.zip</w:t>
      </w:r>
      <w:r>
        <w:t xml:space="preserve">) with iDigBio</w:t>
      </w:r>
      <w:r>
        <w:t xml:space="preserve"> </w:t>
      </w:r>
      <w:r>
        <w:rPr>
          <w:iCs/>
          <w:i/>
        </w:rPr>
        <w:t xml:space="preserve">and</w:t>
      </w:r>
      <w:r>
        <w:t xml:space="preserve"> </w:t>
      </w:r>
      <w:r>
        <w:t xml:space="preserve">GBIF. iDigBio assigned the UCSB-IZC the recordset uuid</w:t>
      </w:r>
      <w:r>
        <w:t xml:space="preserve"> </w:t>
      </w:r>
      <w:r>
        <w:rPr>
          <w:rStyle w:val="VerbatimChar"/>
        </w:rPr>
        <w:t xml:space="preserve">urn:uuid:65007e62-740c-4302-ba20-260fe68da291</w:t>
      </w:r>
      <w:r>
        <w:t xml:space="preserve">, GBIF assigned both a DOI (i.e.,</w:t>
      </w:r>
      <w:r>
        <w:t xml:space="preserve"> </w:t>
      </w:r>
      <w:r>
        <w:rPr>
          <w:rStyle w:val="VerbatimChar"/>
        </w:rPr>
        <w:t xml:space="preserve">10.15468/w6hvhv</w:t>
      </w:r>
      <w:r>
        <w:t xml:space="preserve">) and UUID (i.e.,</w:t>
      </w:r>
      <w:r>
        <w:t xml:space="preserve"> </w:t>
      </w:r>
      <w:r>
        <w:rPr>
          <w:rStyle w:val="VerbatimChar"/>
        </w:rPr>
        <w:t xml:space="preserve">urn:uuid:d6097f75-f99e-4c2a-b8a5-b0fc213ecbd0</w:t>
      </w:r>
      <w:r>
        <w:t xml:space="preserve">).</w:t>
      </w:r>
    </w:p>
    <w:p>
      <w:pPr>
        <w:pStyle w:val="BodyText"/>
      </w:pPr>
      <w:r>
        <w:t xml:space="preserve">Now, the FAIRness of the UCSB-IZC archives can be visualized by visiting one of the following location a web browser:</w:t>
      </w:r>
    </w:p>
    <w:p>
      <w:pPr>
        <w:numPr>
          <w:ilvl w:val="0"/>
          <w:numId w:val="1001"/>
        </w:numPr>
      </w:pPr>
      <w:r>
        <w:t xml:space="preserve">https://linker.bio/badge/https://ecdysis.org/content/dwca/UCSB-IZC_DwC-A.zip (by archive location)</w:t>
      </w:r>
    </w:p>
    <w:p>
      <w:pPr>
        <w:numPr>
          <w:ilvl w:val="0"/>
          <w:numId w:val="1001"/>
        </w:numPr>
      </w:pPr>
      <w:r>
        <w:t xml:space="preserve">https://linker.bio/badge/urn:uuid:65007e62-740c-4302-ba20-260fe68da291 (by iDigBio RecordSet UUID)</w:t>
      </w:r>
    </w:p>
    <w:p>
      <w:pPr>
        <w:numPr>
          <w:ilvl w:val="0"/>
          <w:numId w:val="1001"/>
        </w:numPr>
      </w:pPr>
      <w:r>
        <w:t xml:space="preserve">https://linker.bio/badge/10.15468/w6hvhv (by GBIF DOI)</w:t>
      </w:r>
    </w:p>
    <w:p>
      <w:pPr>
        <w:numPr>
          <w:ilvl w:val="0"/>
          <w:numId w:val="1001"/>
        </w:numPr>
      </w:pPr>
      <w:r>
        <w:t xml:space="preserve">https://linker.bio/badge/urn:uuid:d6097f75-f99e-4c2a-b8a5-b0fc213ecbd0 (by GBIF Dataset UUID)</w:t>
      </w:r>
    </w:p>
    <w:p>
      <w:pPr>
        <w:numPr>
          <w:ilvl w:val="0"/>
          <w:numId w:val="1001"/>
        </w:numPr>
      </w:pPr>
      <w:r>
        <w:t xml:space="preserve">https://linker.bio/badge/hash://sha256/f5d8f67c1eca34cbba1abac12f353585c78bb053bc8ce7ee7e7a78846e1bfc4a (by content id)</w:t>
      </w:r>
    </w:p>
    <w:p>
      <w:pPr>
        <w:pStyle w:val="FirstParagraph"/>
      </w:pPr>
      <w:r>
        <w:t xml:space="preserve">To make the links direct to the underlying content instead of showing a badge, you can drop the</w:t>
      </w:r>
      <w:r>
        <w:t xml:space="preserve"> </w:t>
      </w:r>
      <w:r>
        <w:rPr>
          <w:rStyle w:val="VerbatimChar"/>
        </w:rPr>
        <w:t xml:space="preserve">badge/</w:t>
      </w:r>
      <w:r>
        <w:t xml:space="preserve"> </w:t>
      </w:r>
      <w:r>
        <w:t xml:space="preserve">part . For example, the tracked content associated with FAIR badge:</w:t>
      </w:r>
    </w:p>
    <w:p>
      <w:pPr>
        <w:pStyle w:val="BodyText"/>
      </w:pPr>
      <w:r>
        <w:rPr>
          <w:rStyle w:val="VerbatimChar"/>
        </w:rPr>
        <w:t xml:space="preserve">https://linker.bio/badge/hash://sha256/f5d8f67c1eca34cbba1abac12f353585c78bb053bc8ce7ee7e7a78846e1bfc4a</w:t>
      </w:r>
    </w:p>
    <w:p>
      <w:pPr>
        <w:pStyle w:val="BodyText"/>
      </w:pPr>
      <w:r>
        <w:t xml:space="preserve">can be accessed via:</w:t>
      </w:r>
    </w:p>
    <w:p>
      <w:pPr>
        <w:pStyle w:val="BodyText"/>
      </w:pPr>
      <w:r>
        <w:rPr>
          <w:rStyle w:val="VerbatimChar"/>
        </w:rPr>
        <w:t xml:space="preserve">https://linker.bio/hash://sha256/f5d8f67c1eca34cbba1abac12f353585c78bb053bc8ce7ee7e7a78846e1bfc4a</w:t>
      </w:r>
    </w:p>
    <w:p>
      <w:pPr>
        <w:pStyle w:val="BodyText"/>
      </w:pPr>
      <w:r>
        <w:t xml:space="preserve">If an archive reference (by location, uuid, doi, or content id) is associated with a tracked DwC-A, a download badge is generated for a recently tracked versioned copy of the FAIR archive. If an archive reference could not be resolved in the corpus of tracked biodiversity archives, a 404 unknown archive badge is generated. With this, an independent FAIR assessment badge service is available: the service is independent of the publisher (UCSB-IZC) or registries (iDigBio, GBIF). These badges may be used to institutions to show off their commitment to FAIRness, or by registries to show that they contribute to the findability to existing data archives.</w:t>
      </w:r>
    </w:p>
    <w:p>
      <w:pPr>
        <w:pStyle w:val="BodyText"/>
      </w:pPr>
      <w:r>
        <w:t xml:space="preserve">An example of a FAIR badge for UCSB-IZC rendered by https://linker.bio/badge/10.15468/w6hvhv is</w:t>
      </w:r>
      <w:r>
        <w:t xml:space="preserve"> </w:t>
      </w:r>
      <w:hyperlink r:id="rId89">
        <w:r>
          <w:drawing>
            <wp:inline>
              <wp:extent cx="1333500" cy="190500"/>
              <wp:effectExtent b="0" l="0" r="0" t="0"/>
              <wp:docPr descr="" title="" id="87" name="Picture"/>
              <a:graphic>
                <a:graphicData uri="http://schemas.openxmlformats.org/drawingml/2006/picture">
                  <pic:pic>
                    <pic:nvPicPr>
                      <pic:cNvPr descr="https://linker.bio/badge/10.15468/w6hvhv" id="8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6"/>
                          </a:ext>
                        </a:extLst>
                      </a:blip>
                      <a:stretch>
                        <a:fillRect/>
                      </a:stretch>
                    </pic:blipFill>
                    <pic:spPr bwMode="auto">
                      <a:xfrm>
                        <a:off x="0" y="0"/>
                        <a:ext cx="1333500" cy="190500"/>
                      </a:xfrm>
                      <a:prstGeom prst="rect">
                        <a:avLst/>
                      </a:prstGeom>
                      <a:noFill/>
                      <a:ln w="9525">
                        <a:noFill/>
                        <a:headEnd/>
                        <a:tailEnd/>
                      </a:ln>
                    </pic:spPr>
                  </pic:pic>
                </a:graphicData>
              </a:graphic>
            </wp:inline>
          </w:drawing>
        </w:r>
      </w:hyperlink>
      <w:r>
        <w:t xml:space="preserve">.</w:t>
      </w:r>
    </w:p>
    <w:p>
      <w:pPr>
        <w:pStyle w:val="BodyText"/>
      </w:pPr>
      <w:r>
        <w:t xml:space="preserve">You can embed this particular badge in a</w:t>
      </w:r>
      <w:r>
        <w:t xml:space="preserve"> </w:t>
      </w:r>
      <w:hyperlink r:id="rId90">
        <w:r>
          <w:rPr>
            <w:rStyle w:val="Hyperlink"/>
          </w:rPr>
          <w:t xml:space="preserve">markdown</w:t>
        </w:r>
      </w:hyperlink>
      <w:r>
        <w:t xml:space="preserve"> </w:t>
      </w:r>
      <w:r>
        <w:t xml:space="preserve">document using a notation like:</w:t>
      </w:r>
    </w:p>
    <w:p>
      <w:pPr>
        <w:pStyle w:val="SourceCode"/>
      </w:pPr>
      <w:r>
        <w:rPr>
          <w:rStyle w:val="VerbatimChar"/>
        </w:rPr>
        <w:t xml:space="preserve">[![](https://linker.bio/badge/10.15468/w6hvhv)](https://linker.bio/10.15468/w6hvhv)</w:t>
      </w:r>
    </w:p>
    <w:p>
      <w:pPr>
        <w:pStyle w:val="FirstParagraph"/>
      </w:pPr>
      <w:r>
        <w:t xml:space="preserve">or, by including the following HTML fragment in your web page:</w:t>
      </w:r>
    </w:p>
    <w:p>
      <w:pPr>
        <w:pStyle w:val="SourceCode"/>
      </w:pP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"https://linker.bio/10.15468/w6hvhv"</w:t>
      </w:r>
      <w:r>
        <w:rPr>
          <w:rStyle w:val="NormalTok"/>
        </w:rPr>
        <w:t xml:space="preserve"> </w:t>
      </w:r>
      <w:r>
        <w:rPr>
          <w:rStyle w:val="ErrorTok"/>
        </w:rPr>
        <w:t xml:space="preserve">target</w:t>
      </w:r>
      <w:r>
        <w:rPr>
          <w:rStyle w:val="OtherTok"/>
        </w:rPr>
        <w:t xml:space="preserve">=</w:t>
      </w:r>
      <w:r>
        <w:rPr>
          <w:rStyle w:val="StringTok"/>
        </w:rPr>
        <w:t xml:space="preserve">"_blank"</w:t>
      </w:r>
      <w:r>
        <w:rPr>
          <w:rStyle w:val="DataTypeTok"/>
        </w:rPr>
        <w:t xml:space="preserve">&gt;</w:t>
      </w:r>
      <w:r>
        <w:br/>
      </w:r>
      <w:r>
        <w:rPr>
          <w:rStyle w:val="NormalTok"/>
        </w:rPr>
        <w:t xml:space="preserve"> </w:t>
      </w:r>
      <w:r>
        <w:rPr>
          <w:rStyle w:val="DataTypeTok"/>
        </w:rPr>
        <w:t xml:space="preserve">&lt;</w:t>
      </w:r>
      <w:r>
        <w:rPr>
          <w:rStyle w:val="KeywordTok"/>
        </w:rPr>
        <w:t xml:space="preserve">img</w:t>
      </w:r>
      <w:r>
        <w:rPr>
          <w:rStyle w:val="NormalTok"/>
        </w:rPr>
        <w:t xml:space="preserve"> </w:t>
      </w:r>
      <w:r>
        <w:rPr>
          <w:rStyle w:val="ErrorTok"/>
        </w:rPr>
        <w:t xml:space="preserve">src</w:t>
      </w:r>
      <w:r>
        <w:rPr>
          <w:rStyle w:val="OtherTok"/>
        </w:rPr>
        <w:t xml:space="preserve">=</w:t>
      </w:r>
      <w:r>
        <w:rPr>
          <w:rStyle w:val="StringTok"/>
        </w:rPr>
        <w:t xml:space="preserve">"https://linker.bio/badge/10.15468/w6hvhv"</w:t>
      </w:r>
      <w:r>
        <w:rPr>
          <w:rStyle w:val="DataTypeTok"/>
        </w:rPr>
        <w:t xml:space="preserve">/&gt;</w:t>
      </w:r>
      <w:r>
        <w:br/>
      </w:r>
      <w:r>
        <w:rPr>
          <w:rStyle w:val="DataTypeTok"/>
        </w:rPr>
        <w:t xml:space="preserve">&lt;/</w:t>
      </w:r>
      <w:r>
        <w:rPr>
          <w:rStyle w:val="KeywordTok"/>
        </w:rPr>
        <w:t xml:space="preserve">a</w:t>
      </w:r>
      <w:r>
        <w:rPr>
          <w:rStyle w:val="DataTypeTok"/>
        </w:rPr>
        <w:t xml:space="preserve">&gt;</w:t>
      </w:r>
    </w:p>
    <w:p>
      <w:pPr>
        <w:pStyle w:val="FirstParagraph"/>
      </w:pPr>
      <w:r>
        <w:t xml:space="preserve">Note that the corpus of tracked biodiversity datasets used to determine this FAIRness assessment can be cloned, copied, and verified. This means that others can implement FAIR assessment services (or any other kind of service using the biodiversity data archives) on the verifiably</w:t>
      </w:r>
      <w:r>
        <w:t xml:space="preserve"> </w:t>
      </w:r>
      <w:r>
        <w:rPr>
          <w:iCs/>
          <w:i/>
        </w:rPr>
        <w:t xml:space="preserve">exact</w:t>
      </w:r>
      <w:r>
        <w:t xml:space="preserve"> </w:t>
      </w:r>
      <w:r>
        <w:t xml:space="preserve">same tracked corpus as the one that https://linker.bio uses.</w:t>
      </w:r>
    </w:p>
    <w:p>
      <w:pPr>
        <w:pStyle w:val="BodyText"/>
      </w:pPr>
      <w:r>
        <w:t xml:space="preserve">If you’d like to learn more about how this service works, please read through</w:t>
      </w:r>
      <w:r>
        <w:t xml:space="preserve"> </w:t>
      </w:r>
      <w:hyperlink r:id="rId91">
        <w:r>
          <w:rPr>
            <w:rStyle w:val="Hyperlink"/>
          </w:rPr>
          <w:t xml:space="preserve">the history of the feature</w:t>
        </w:r>
      </w:hyperlink>
      <w:r>
        <w:t xml:space="preserve"> </w:t>
      </w:r>
      <w:r>
        <w:t xml:space="preserve">or contact the author of this document.</w:t>
      </w:r>
    </w:p>
    <w:p>
      <w:pPr>
        <w:pStyle w:val="BodyText"/>
      </w:pPr>
      <w:r>
        <w:t xml:space="preserve">Please note that this FAIR assessment feature was heavily influenced by discussion following the WorldFAIR project report by Trekels et al. 2023</w:t>
      </w:r>
      <w:r>
        <w:t xml:space="preserve"> </w:t>
      </w:r>
      <w:r>
        <w:rPr>
          <w:rStyle w:val="FootnoteReference"/>
        </w:rPr>
        <w:footnoteReference w:id="92"/>
      </w:r>
      <w:r>
        <w:t xml:space="preserve">.</w:t>
      </w:r>
    </w:p>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2">
    <w:p>
      <w:pPr>
        <w:pStyle w:val="FootnoteText"/>
      </w:pPr>
      <w:r>
        <w:rPr>
          <w:rStyle w:val="FootnoteReference"/>
        </w:rPr>
        <w:footnoteRef/>
      </w:r>
      <w:r>
        <w:t xml:space="preserve"> </w:t>
      </w:r>
      <w:r>
        <w:t xml:space="preserve">Probably need a better term for this, because of existing uses elsewhere.</w:t>
      </w:r>
    </w:p>
  </w:footnote>
  <w:footnote w:id="34">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5">
        <w:r>
          <w:rPr>
            <w:rStyle w:val="Hyperlink"/>
          </w:rPr>
          <w:t xml:space="preserve">Zenodo</w:t>
        </w:r>
      </w:hyperlink>
      <w:r>
        <w:t xml:space="preserve">,</w:t>
      </w:r>
      <w:r>
        <w:t xml:space="preserve"> </w:t>
      </w:r>
      <w:hyperlink r:id="rId36">
        <w:r>
          <w:rPr>
            <w:rStyle w:val="Hyperlink"/>
          </w:rPr>
          <w:t xml:space="preserve">DataOne</w:t>
        </w:r>
      </w:hyperlink>
      <w:r>
        <w:t xml:space="preserve">,</w:t>
      </w:r>
      <w:r>
        <w:t xml:space="preserve"> </w:t>
      </w:r>
      <w:hyperlink r:id="rId37">
        <w:r>
          <w:rPr>
            <w:rStyle w:val="Hyperlink"/>
          </w:rPr>
          <w:t xml:space="preserve">WikiMedia Commons</w:t>
        </w:r>
      </w:hyperlink>
      <w:r>
        <w:t xml:space="preserve">, and</w:t>
      </w:r>
      <w:r>
        <w:t xml:space="preserve"> </w:t>
      </w:r>
      <w:hyperlink r:id="rId38">
        <w:r>
          <w:rPr>
            <w:rStyle w:val="Hyperlink"/>
          </w:rPr>
          <w:t xml:space="preserve">Software Heritage Library</w:t>
        </w:r>
      </w:hyperlink>
      <w:r>
        <w:t xml:space="preserve"> </w:t>
      </w:r>
      <w:r>
        <w:t xml:space="preserve">to the massive amount of content they keep. Note also that</w:t>
      </w:r>
      <w:r>
        <w:t xml:space="preserve"> </w:t>
      </w:r>
      <w:hyperlink r:id="rId39">
        <w:r>
          <w:rPr>
            <w:rStyle w:val="Hyperlink"/>
          </w:rPr>
          <w:t xml:space="preserve">Carl Boettiger</w:t>
        </w:r>
      </w:hyperlink>
      <w:r>
        <w:t xml:space="preserve"> </w:t>
      </w:r>
      <w:r>
        <w:t xml:space="preserve">maintains a bridge from R to the content-verse via the R package</w:t>
      </w:r>
      <w:r>
        <w:t xml:space="preserve"> </w:t>
      </w:r>
      <w:hyperlink r:id="rId40">
        <w:r>
          <w:rPr>
            <w:rStyle w:val="Hyperlink"/>
          </w:rPr>
          <w:t xml:space="preserve">contentid</w:t>
        </w:r>
      </w:hyperlink>
      <w:r>
        <w:t xml:space="preserve">.</w:t>
      </w:r>
    </w:p>
  </w:footnote>
  <w:footnote w:id="41">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2">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3">
        <w:r>
          <w:rPr>
            <w:rStyle w:val="Hyperlink"/>
          </w:rPr>
          <w:t xml:space="preserve">iDigBio</w:t>
        </w:r>
      </w:hyperlink>
      <w:r>
        <w:t xml:space="preserve">,</w:t>
      </w:r>
      <w:r>
        <w:t xml:space="preserve"> </w:t>
      </w:r>
      <w:hyperlink r:id="rId44">
        <w:r>
          <w:rPr>
            <w:rStyle w:val="Hyperlink"/>
          </w:rPr>
          <w:t xml:space="preserve">GBIF</w:t>
        </w:r>
      </w:hyperlink>
      <w:r>
        <w:t xml:space="preserve">,</w:t>
      </w:r>
      <w:r>
        <w:t xml:space="preserve"> </w:t>
      </w:r>
      <w:hyperlink r:id="rId45">
        <w:r>
          <w:rPr>
            <w:rStyle w:val="Hyperlink"/>
          </w:rPr>
          <w:t xml:space="preserve">BioCase</w:t>
        </w:r>
      </w:hyperlink>
      <w:r>
        <w:t xml:space="preserve">,</w:t>
      </w:r>
      <w:r>
        <w:t xml:space="preserve"> </w:t>
      </w:r>
      <w:hyperlink r:id="rId46">
        <w:r>
          <w:rPr>
            <w:rStyle w:val="Hyperlink"/>
          </w:rPr>
          <w:t xml:space="preserve">Biodiversity Heritage Library</w:t>
        </w:r>
      </w:hyperlink>
      <w:r>
        <w:t xml:space="preserve">,</w:t>
      </w:r>
      <w:r>
        <w:t xml:space="preserve"> </w:t>
      </w:r>
      <w:hyperlink r:id="rId47">
        <w:r>
          <w:rPr>
            <w:rStyle w:val="Hyperlink"/>
          </w:rPr>
          <w:t xml:space="preserve">OBIS</w:t>
        </w:r>
      </w:hyperlink>
      <w:r>
        <w:t xml:space="preserve"> </w:t>
      </w:r>
      <w:r>
        <w:t xml:space="preserve">and</w:t>
      </w:r>
      <w:r>
        <w:t xml:space="preserve"> </w:t>
      </w:r>
      <w:hyperlink r:id="rId48">
        <w:r>
          <w:rPr>
            <w:rStyle w:val="Hyperlink"/>
          </w:rPr>
          <w:t xml:space="preserve">CheckListbank</w:t>
        </w:r>
      </w:hyperlink>
    </w:p>
  </w:footnote>
  <w:footnote w:id="53">
    <w:p>
      <w:pPr>
        <w:pStyle w:val="FootnoteText"/>
      </w:pPr>
      <w:r>
        <w:rPr>
          <w:rStyle w:val="FootnoteReference"/>
        </w:rPr>
        <w:footnoteRef/>
      </w:r>
      <w:r>
        <w:t xml:space="preserve"> </w:t>
      </w:r>
      <w:r>
        <w:t xml:space="preserve">In other words, digital fingerprints are agnostic of location, technology, and … time.</w:t>
      </w:r>
    </w:p>
  </w:footnote>
  <w:footnote w:id="67">
    <w:p>
      <w:pPr>
        <w:pStyle w:val="FootnoteText"/>
      </w:pPr>
      <w:r>
        <w:rPr>
          <w:rStyle w:val="FootnoteReference"/>
        </w:rPr>
        <w:footnoteRef/>
      </w:r>
      <w:r>
        <w:t xml:space="preserve"> </w:t>
      </w:r>
      <w:r>
        <w:t xml:space="preserve">Preston is open source software.</w:t>
      </w:r>
    </w:p>
  </w:footnote>
  <w:footnote w:id="68">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 w:id="78">
    <w:p>
      <w:pPr>
        <w:pStyle w:val="FootnoteText"/>
      </w:pPr>
      <w:r>
        <w:rPr>
          <w:rStyle w:val="FootnoteReference"/>
        </w:rPr>
        <w:footnoteRef/>
      </w:r>
      <w:r>
        <w:t xml:space="preserve"> </w:t>
      </w:r>
      <w:hyperlink r:id="rId77">
        <w:r>
          <w:rPr>
            <w:rStyle w:val="Hyperlink"/>
          </w:rPr>
          <w:t xml:space="preserve">OpenAlex</w:t>
        </w:r>
      </w:hyperlink>
      <w:r>
        <w:t xml:space="preserve"> </w:t>
      </w:r>
      <w:r>
        <w:t xml:space="preserve">is an open access index of scientific works, similar to Web of Science and Google Scholar but then without paywalls or walled gardens.</w:t>
      </w:r>
    </w:p>
  </w:footnote>
  <w:footnote w:id="80">
    <w:p>
      <w:pPr>
        <w:pStyle w:val="FootnoteText"/>
      </w:pPr>
      <w:r>
        <w:rPr>
          <w:rStyle w:val="FootnoteReference"/>
        </w:rPr>
        <w:footnoteRef/>
      </w:r>
      <w:r>
        <w:t xml:space="preserve"> </w:t>
      </w:r>
      <w:r>
        <w:t xml:space="preserve">See</w:t>
      </w:r>
      <w:r>
        <w:t xml:space="preserve"> </w:t>
      </w:r>
      <w:hyperlink r:id="rId81">
        <w:r>
          <w:rPr>
            <w:rStyle w:val="Hyperlink"/>
          </w:rPr>
          <w:t xml:space="preserve">https://gist.github.com/jhpoelen/8b263027ff13c7b788fa24866ce73bfb</w:t>
        </w:r>
      </w:hyperlink>
      <w:r>
        <w:t xml:space="preserve"> </w:t>
      </w:r>
      <w:r>
        <w:t xml:space="preserve">for example usage of a versioned copy of the OpenAlex index.</w:t>
      </w:r>
    </w:p>
  </w:footnote>
  <w:footnote w:id="83">
    <w:p>
      <w:pPr>
        <w:pStyle w:val="FootnoteText"/>
      </w:pPr>
      <w:r>
        <w:rPr>
          <w:rStyle w:val="FootnoteReference"/>
        </w:rPr>
        <w:footnoteRef/>
      </w:r>
      <w:r>
        <w:t xml:space="preserve"> </w:t>
      </w:r>
      <w:r>
        <w:t xml:space="preserve">Wilkinson, Mark D., Michel Dumontier, IJsbrand Jan Aalbersberg, Gabrielle Appleton, Myles Axton, Arie Baak, Niklas Blomberg, et al. 2016.</w:t>
      </w:r>
      <w:r>
        <w:t xml:space="preserve"> </w:t>
      </w:r>
      <w:r>
        <w:t xml:space="preserve">“</w:t>
      </w:r>
      <w:r>
        <w:t xml:space="preserve">The FAIR Guiding Principles for Scientific Data Management and Stewardship.</w:t>
      </w:r>
      <w:r>
        <w:t xml:space="preserve">”</w:t>
      </w:r>
      <w:r>
        <w:t xml:space="preserve"> </w:t>
      </w:r>
      <w:r>
        <w:t xml:space="preserve">Scientific Data 3 (1). https://doi.org/10.1038/sdata.2016.18.</w:t>
      </w:r>
    </w:p>
  </w:footnote>
  <w:footnote w:id="84">
    <w:p>
      <w:pPr>
        <w:pStyle w:val="FootnoteText"/>
      </w:pPr>
      <w:r>
        <w:rPr>
          <w:rStyle w:val="FootnoteReference"/>
        </w:rPr>
        <w:footnoteRef/>
      </w:r>
      <w:r>
        <w:t xml:space="preserve"> </w:t>
      </w:r>
      <w:r>
        <w:t xml:space="preserve">“</w:t>
      </w:r>
      <w:r>
        <w:t xml:space="preserve">Darwin Core is a standard […] intended to facilitate the sharing of information about biological diversity […]</w:t>
      </w:r>
      <w:r>
        <w:t xml:space="preserve">”</w:t>
      </w:r>
      <w:r>
        <w:t xml:space="preserve"> </w:t>
      </w:r>
      <w:r>
        <w:t xml:space="preserve">- https://dwc.tdwg.org/ accessed at 2024-01-03</w:t>
      </w:r>
    </w:p>
  </w:footnote>
  <w:footnote w:id="85">
    <w:p>
      <w:pPr>
        <w:pStyle w:val="FootnoteText"/>
      </w:pPr>
      <w:r>
        <w:rPr>
          <w:rStyle w:val="FootnoteReference"/>
        </w:rPr>
        <w:footnoteRef/>
      </w:r>
      <w:r>
        <w:t xml:space="preserve"> </w:t>
      </w:r>
      <w:r>
        <w:t xml:space="preserve">Poelen, J. H. (2023). A biodiversity dataset graph: GBIF, iDigBio, BioCASe hash://sha256/450deb8ed9092ac9b2f0f31d3dcf4e2b9be003c460df63dd6463d252bff37b55 hash://md5/898a9c02bedccaea5434ee4c6d64b7a2 (0.0.4) [Data set]. Zenodo. https://doi.org/10.5281/zenodo.7651831</w:t>
      </w:r>
    </w:p>
  </w:footnote>
  <w:footnote w:id="92">
    <w:p>
      <w:pPr>
        <w:pStyle w:val="FootnoteText"/>
      </w:pPr>
      <w:r>
        <w:rPr>
          <w:rStyle w:val="FootnoteReference"/>
        </w:rPr>
        <w:footnoteRef/>
      </w:r>
      <w:r>
        <w:t xml:space="preserve"> </w:t>
      </w:r>
      <w:r>
        <w:t xml:space="preserve">Trekels, Maarten, Debora Pignatari Drucker, José Augusto Salim, Jeff Ollerton, Jorrit Poelen, Filipi Miranda Soares, Max Rünzel, Muo Kasina, Quentin Groom, and Mariano Devoto. 2023.</w:t>
      </w:r>
      <w:r>
        <w:t xml:space="preserve"> </w:t>
      </w:r>
      <w:r>
        <w:t xml:space="preserve">“</w:t>
      </w:r>
      <w:r>
        <w:t xml:space="preserve">WorldFAIR Project (D10.1) Agriculture-related pollinator data standards use cases report.</w:t>
      </w:r>
      <w:r>
        <w:t xml:space="preserve">”</w:t>
      </w:r>
      <w:r>
        <w:t xml:space="preserve"> </w:t>
      </w:r>
      <w:r>
        <w:t xml:space="preserve">Zenodo. https://doi.org/10.5281/zenodo.8176978.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svgz"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90" Target="https://en.wikipedia.org/wiki/Markdown"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1"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89" Target="https://linker.bio/10.15468/w6hvhv" TargetMode="External" /><Relationship Type="http://schemas.openxmlformats.org/officeDocument/2006/relationships/hyperlink" Id="rId76" Target="https://linker.bio/hash://md5/70645090fdecba640b50577e2a6f2342"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3" Target="https://linker.bio/hash://sha256/00989c740fb47e52c12c09bbd69bec4dee63aa057ac4a58b55a1042e9f7576df" TargetMode="External" /><Relationship Type="http://schemas.openxmlformats.org/officeDocument/2006/relationships/hyperlink" Id="rId72" Target="https://linker.bio/hash://sha256/37bdd8ddb12df4ee02978ca59b695afd651f94398c0fe2e1f8b182849a876bb2"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4" Target="https://linker.bio/hash://sha256/9afacaefe9732946005066b7cf5310020e3ab4f89a3c9e80b169e0982b5cb798"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90" Target="https://en.wikipedia.org/wiki/Markdown"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1"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89" Target="https://linker.bio/10.15468/w6hvhv" TargetMode="External" /><Relationship Type="http://schemas.openxmlformats.org/officeDocument/2006/relationships/hyperlink" Id="rId76" Target="https://linker.bio/hash://md5/70645090fdecba640b50577e2a6f2342"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3" Target="https://linker.bio/hash://sha256/00989c740fb47e52c12c09bbd69bec4dee63aa057ac4a58b55a1042e9f7576df" TargetMode="External" /><Relationship Type="http://schemas.openxmlformats.org/officeDocument/2006/relationships/hyperlink" Id="rId72" Target="https://linker.bio/hash://sha256/37bdd8ddb12df4ee02978ca59b695afd651f94398c0fe2e1f8b182849a876bb2"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4" Target="https://linker.bio/hash://sha256/9afacaefe9732946005066b7cf5310020e3ab4f89a3c9e80b169e0982b5cb798"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2024-04-19T15:14:21Z</dcterms:created>
  <dcterms:modified xsi:type="dcterms:W3CDTF">2024-04-19T15:14:21Z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2023-10-11/2024-04-17</vt:lpwstr>
  </property>
  <property fmtid="{D5CDD505-2E9C-101B-9397-08002B2CF9AE}" pid="3" name="subtitle">
    <vt:lpwstr>(a working document)</vt:lpwstr>
  </property>
</Properties>
</file>