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 to digital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62"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9"/>
      </w:r>
      <w:r>
        <w:t xml:space="preserve"> </w:t>
      </w:r>
      <w:r>
        <w:t xml:space="preserve">via:</w:t>
      </w:r>
    </w:p>
    <w:p>
      <w:pPr>
        <w:pStyle w:val="BodyText"/>
      </w:pPr>
      <w:hyperlink r:id="rId61">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2"/>
    <w:bookmarkStart w:id="64" w:name="acknowledgments"/>
    <w:p>
      <w:pPr>
        <w:pStyle w:val="Heading2"/>
      </w:pPr>
      <w:r>
        <w:t xml:space="preserve">Acknowledgments</w:t>
      </w:r>
    </w:p>
    <w:p>
      <w:pPr>
        <w:pStyle w:val="FirstParagraph"/>
      </w:pPr>
      <w:r>
        <w:t xml:space="preserve">Michael Elliott, José Fortes and</w:t>
      </w:r>
      <w:r>
        <w:t xml:space="preserve"> </w:t>
      </w:r>
      <w:hyperlink r:id="rId63">
        <w:r>
          <w:rPr>
            <w:rStyle w:val="Hyperlink"/>
          </w:rPr>
          <w:t xml:space="preserve">Cypress Hansen</w:t>
        </w:r>
      </w:hyperlink>
      <w:r>
        <w:t xml:space="preserve"> </w:t>
      </w:r>
      <w:r>
        <w:t xml:space="preserve">provided comments to help improve a description of todays internet and the benefits of the content-verse.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 w:id="59">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60">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60"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a755a6ac881e977bc32f11536672bfb347cf1b7657446a8a699abb639de59419"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3"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60"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a755a6ac881e977bc32f11536672bfb347cf1b7657446a8a699abb639de59419"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3"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2023-10-11T23:06:23Z</dcterms:created>
  <dcterms:modified xsi:type="dcterms:W3CDTF">2023-10-11T23:06:23Z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