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2"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1"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t xml:space="preserve">‘</w:t>
      </w:r>
      <w:r>
        <w:t xml:space="preserve">10.15468/w6hvhv</w:t>
      </w:r>
      <w:r>
        <w:t xml:space="preserve">’</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If an archive reference (by location, uuid, doi)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CaptionedFigure"/>
      </w:pPr>
      <w:r>
        <w:drawing>
          <wp:inline>
            <wp:extent cx="1333500" cy="190500"/>
            <wp:effectExtent b="0" l="0" r="0" t="0"/>
            <wp:docPr descr="An example of a FAIR badge for UCSB-IZC rendered by https://linker.bio/badge/10.15468/w6hvhv"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p>
    <w:p>
      <w:pPr>
        <w:pStyle w:val="ImageCaption"/>
      </w:pPr>
      <w:r>
        <w:t xml:space="preserve">An example of a FAIR badge for UCSB-IZC rendered by https://linker.bio/badge/10.15468/w6hvhv</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89">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the WorldFAIR project report by Trekels et al. 2023</w:t>
      </w:r>
      <w:r>
        <w:t xml:space="preserve"> </w:t>
      </w:r>
      <w:r>
        <w:rPr>
          <w:rStyle w:val="FootnoteReference"/>
        </w:rPr>
        <w:footnoteReference w:id="90"/>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0">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2024-01-04T00:15:30Z</dcterms:created>
  <dcterms:modified xsi:type="dcterms:W3CDTF">2024-01-04T00:15:30Z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