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A318E2" w14:textId="77777777" w:rsidR="001B7EE8" w:rsidRPr="001B7EE8" w:rsidRDefault="001B7EE8" w:rsidP="00722DF4">
      <w:pPr>
        <w:spacing w:line="480" w:lineRule="auto"/>
        <w:jc w:val="both"/>
        <w:rPr>
          <w:rFonts w:ascii="Times New Roman" w:hAnsi="Times New Roman" w:cs="Times New Roman"/>
          <w:b/>
          <w:bCs/>
          <w:lang w:val="en-GB"/>
        </w:rPr>
      </w:pPr>
      <w:r w:rsidRPr="001B7EE8">
        <w:rPr>
          <w:rFonts w:ascii="Times New Roman" w:hAnsi="Times New Roman" w:cs="Times New Roman"/>
          <w:b/>
          <w:bCs/>
          <w:lang w:val="en-GB"/>
        </w:rPr>
        <w:t>1. Comorbidity Assessment</w:t>
      </w:r>
    </w:p>
    <w:p w14:paraId="5EFE9567" w14:textId="388DD473" w:rsidR="001B7EE8" w:rsidRPr="001B7EE8" w:rsidRDefault="001B7EE8" w:rsidP="00722DF4">
      <w:pPr>
        <w:spacing w:line="480" w:lineRule="auto"/>
        <w:jc w:val="both"/>
        <w:rPr>
          <w:rFonts w:ascii="Times New Roman" w:hAnsi="Times New Roman" w:cs="Times New Roman"/>
          <w:lang w:val="en-GB"/>
        </w:rPr>
      </w:pPr>
      <w:r w:rsidRPr="001B7EE8">
        <w:rPr>
          <w:rFonts w:ascii="Times New Roman" w:hAnsi="Times New Roman" w:cs="Times New Roman"/>
          <w:lang w:val="en-GB"/>
        </w:rPr>
        <w:t xml:space="preserve">We did not use the Charlson Comorbidity Index (CCI) directly in this phase. Instead, comorbidities were assessed through a variable-based categorical approach using the fields provided in the CODIGE dataset </w:t>
      </w:r>
      <w:r w:rsidR="00BC64EB" w:rsidRPr="00722DF4">
        <w:rPr>
          <w:rFonts w:ascii="Times New Roman" w:hAnsi="Times New Roman" w:cs="Times New Roman"/>
          <w:lang w:val="en-GB"/>
        </w:rPr>
        <w:t>[</w:t>
      </w:r>
      <w:proofErr w:type="spellStart"/>
      <w:r w:rsidRPr="001B7EE8">
        <w:rPr>
          <w:rFonts w:ascii="Times New Roman" w:hAnsi="Times New Roman" w:cs="Times New Roman"/>
          <w:lang w:val="en-GB"/>
        </w:rPr>
        <w:t>comorbidita</w:t>
      </w:r>
      <w:proofErr w:type="spellEnd"/>
      <w:r w:rsidR="00BC64EB" w:rsidRPr="00722DF4">
        <w:rPr>
          <w:rFonts w:ascii="Times New Roman" w:hAnsi="Times New Roman" w:cs="Times New Roman"/>
          <w:lang w:val="en-GB"/>
        </w:rPr>
        <w:t xml:space="preserve"> (Column Index DN)</w:t>
      </w:r>
      <w:r w:rsidRPr="001B7EE8">
        <w:rPr>
          <w:rFonts w:ascii="Times New Roman" w:hAnsi="Times New Roman" w:cs="Times New Roman"/>
          <w:lang w:val="en-GB"/>
        </w:rPr>
        <w:t xml:space="preserve">, </w:t>
      </w:r>
      <w:proofErr w:type="spellStart"/>
      <w:r w:rsidRPr="001B7EE8">
        <w:rPr>
          <w:rFonts w:ascii="Times New Roman" w:hAnsi="Times New Roman" w:cs="Times New Roman"/>
          <w:lang w:val="en-GB"/>
        </w:rPr>
        <w:t>comorbilita_cat</w:t>
      </w:r>
      <w:proofErr w:type="spellEnd"/>
      <w:r w:rsidR="00BC64EB" w:rsidRPr="00722DF4">
        <w:rPr>
          <w:rFonts w:ascii="Times New Roman" w:hAnsi="Times New Roman" w:cs="Times New Roman"/>
          <w:lang w:val="en-GB"/>
        </w:rPr>
        <w:t xml:space="preserve"> (Column Index DO)</w:t>
      </w:r>
      <w:r w:rsidRPr="001B7EE8">
        <w:rPr>
          <w:rFonts w:ascii="Times New Roman" w:hAnsi="Times New Roman" w:cs="Times New Roman"/>
          <w:lang w:val="en-GB"/>
        </w:rPr>
        <w:t>, and related variables</w:t>
      </w:r>
      <w:r w:rsidR="00BC64EB" w:rsidRPr="00722DF4">
        <w:rPr>
          <w:rFonts w:ascii="Times New Roman" w:hAnsi="Times New Roman" w:cs="Times New Roman"/>
          <w:lang w:val="en-GB"/>
        </w:rPr>
        <w:t>]</w:t>
      </w:r>
      <w:r w:rsidRPr="001B7EE8">
        <w:rPr>
          <w:rFonts w:ascii="Times New Roman" w:hAnsi="Times New Roman" w:cs="Times New Roman"/>
          <w:lang w:val="en-GB"/>
        </w:rPr>
        <w:t>.</w:t>
      </w:r>
    </w:p>
    <w:p w14:paraId="67B681A2" w14:textId="1D085A7C" w:rsidR="001B7EE8" w:rsidRPr="00722DF4" w:rsidRDefault="001B7EE8" w:rsidP="00722DF4">
      <w:pPr>
        <w:spacing w:line="480" w:lineRule="auto"/>
        <w:jc w:val="both"/>
        <w:rPr>
          <w:rFonts w:ascii="Times New Roman" w:hAnsi="Times New Roman" w:cs="Times New Roman"/>
          <w:lang w:val="en-GB"/>
        </w:rPr>
      </w:pPr>
      <w:r w:rsidRPr="001B7EE8">
        <w:rPr>
          <w:rFonts w:ascii="Times New Roman" w:hAnsi="Times New Roman" w:cs="Times New Roman"/>
          <w:lang w:val="en-GB"/>
        </w:rPr>
        <w:t xml:space="preserve">During cleaning, these variables contained multiple entries per cell (lists of conditions separated by semicolons or </w:t>
      </w:r>
      <w:r w:rsidR="00BC64EB" w:rsidRPr="00722DF4">
        <w:rPr>
          <w:rFonts w:ascii="Times New Roman" w:hAnsi="Times New Roman" w:cs="Times New Roman"/>
          <w:lang w:val="en-GB"/>
        </w:rPr>
        <w:t>commas)</w:t>
      </w:r>
      <w:r w:rsidRPr="001B7EE8">
        <w:rPr>
          <w:rFonts w:ascii="Times New Roman" w:hAnsi="Times New Roman" w:cs="Times New Roman"/>
          <w:lang w:val="en-GB"/>
        </w:rPr>
        <w:t>. These were preserved for later transformation into binary indicator variables (one-hot encoding) in the next phase. The intention is to enable flexible comorbidity scoring</w:t>
      </w:r>
      <w:r w:rsidRPr="00722DF4">
        <w:rPr>
          <w:rFonts w:ascii="Times New Roman" w:hAnsi="Times New Roman" w:cs="Times New Roman"/>
          <w:lang w:val="en-GB"/>
        </w:rPr>
        <w:t xml:space="preserve"> </w:t>
      </w:r>
      <w:r w:rsidRPr="001B7EE8">
        <w:rPr>
          <w:rFonts w:ascii="Times New Roman" w:hAnsi="Times New Roman" w:cs="Times New Roman"/>
          <w:lang w:val="en-GB"/>
        </w:rPr>
        <w:t xml:space="preserve">potentially including the CCI or </w:t>
      </w:r>
      <w:proofErr w:type="spellStart"/>
      <w:r w:rsidRPr="001B7EE8">
        <w:rPr>
          <w:rFonts w:ascii="Times New Roman" w:hAnsi="Times New Roman" w:cs="Times New Roman"/>
          <w:lang w:val="en-GB"/>
        </w:rPr>
        <w:t>Elixhauser</w:t>
      </w:r>
      <w:proofErr w:type="spellEnd"/>
      <w:r w:rsidRPr="001B7EE8">
        <w:rPr>
          <w:rFonts w:ascii="Times New Roman" w:hAnsi="Times New Roman" w:cs="Times New Roman"/>
          <w:lang w:val="en-GB"/>
        </w:rPr>
        <w:t xml:space="preserve"> index</w:t>
      </w:r>
      <w:r w:rsidR="003D2B66" w:rsidRPr="00722DF4">
        <w:rPr>
          <w:rFonts w:ascii="Times New Roman" w:hAnsi="Times New Roman" w:cs="Times New Roman"/>
          <w:lang w:val="en-GB"/>
        </w:rPr>
        <w:t xml:space="preserve"> </w:t>
      </w:r>
      <w:r w:rsidRPr="001B7EE8">
        <w:rPr>
          <w:rFonts w:ascii="Times New Roman" w:hAnsi="Times New Roman" w:cs="Times New Roman"/>
          <w:lang w:val="en-GB"/>
        </w:rPr>
        <w:t>once conditions are standardized and mapped to ICD-equivalent disease categories</w:t>
      </w:r>
      <w:r w:rsidR="00BC64EB" w:rsidRPr="00722DF4">
        <w:rPr>
          <w:rFonts w:ascii="Times New Roman" w:hAnsi="Times New Roman" w:cs="Times New Roman"/>
          <w:lang w:val="en-GB"/>
        </w:rPr>
        <w:t xml:space="preserve"> which was done in Phase 2</w:t>
      </w:r>
      <w:r w:rsidRPr="001B7EE8">
        <w:rPr>
          <w:rFonts w:ascii="Times New Roman" w:hAnsi="Times New Roman" w:cs="Times New Roman"/>
          <w:lang w:val="en-GB"/>
        </w:rPr>
        <w:t>.</w:t>
      </w:r>
    </w:p>
    <w:p w14:paraId="004651A1" w14:textId="77777777" w:rsidR="003D2B66" w:rsidRPr="003D2B66" w:rsidRDefault="003D2B66" w:rsidP="00722DF4">
      <w:pPr>
        <w:spacing w:line="480" w:lineRule="auto"/>
        <w:jc w:val="both"/>
        <w:rPr>
          <w:rFonts w:ascii="Times New Roman" w:hAnsi="Times New Roman" w:cs="Times New Roman"/>
          <w:b/>
          <w:bCs/>
          <w:lang w:val="en-GB"/>
        </w:rPr>
      </w:pPr>
      <w:r w:rsidRPr="003D2B66">
        <w:rPr>
          <w:rFonts w:ascii="Times New Roman" w:hAnsi="Times New Roman" w:cs="Times New Roman"/>
          <w:b/>
          <w:bCs/>
          <w:lang w:val="en-GB"/>
        </w:rPr>
        <w:t>2. Outlier Management</w:t>
      </w:r>
    </w:p>
    <w:p w14:paraId="00A4A15D" w14:textId="385F5623" w:rsidR="003D2B66" w:rsidRPr="003D2B66" w:rsidRDefault="003D2B66" w:rsidP="00722DF4">
      <w:pPr>
        <w:spacing w:line="480" w:lineRule="auto"/>
        <w:jc w:val="both"/>
        <w:rPr>
          <w:rFonts w:ascii="Times New Roman" w:hAnsi="Times New Roman" w:cs="Times New Roman"/>
          <w:lang w:val="en-GB"/>
        </w:rPr>
      </w:pPr>
      <w:r w:rsidRPr="003D2B66">
        <w:rPr>
          <w:rFonts w:ascii="Times New Roman" w:hAnsi="Times New Roman" w:cs="Times New Roman"/>
          <w:lang w:val="en-GB"/>
        </w:rPr>
        <w:t>A detailed review of the dataset through profiling, standardization, and plausibility-bound checks did not reveal the presence of significant outliers across any variable groups. Laboratory parameters, vital-sign-related measures, physiological indicators, and derived continuous scores all fell within clinically reasonable ranges.</w:t>
      </w:r>
      <w:r w:rsidRPr="00722DF4">
        <w:rPr>
          <w:rFonts w:ascii="Times New Roman" w:hAnsi="Times New Roman" w:cs="Times New Roman"/>
          <w:lang w:val="en-GB"/>
        </w:rPr>
        <w:t xml:space="preserve"> </w:t>
      </w:r>
      <w:r w:rsidRPr="003D2B66">
        <w:rPr>
          <w:rFonts w:ascii="Times New Roman" w:hAnsi="Times New Roman" w:cs="Times New Roman"/>
          <w:lang w:val="en-GB"/>
        </w:rPr>
        <w:t xml:space="preserve">As a result, no formal </w:t>
      </w:r>
      <w:proofErr w:type="spellStart"/>
      <w:r w:rsidRPr="003D2B66">
        <w:rPr>
          <w:rFonts w:ascii="Times New Roman" w:hAnsi="Times New Roman" w:cs="Times New Roman"/>
          <w:lang w:val="en-GB"/>
        </w:rPr>
        <w:t>winsorization</w:t>
      </w:r>
      <w:proofErr w:type="spellEnd"/>
      <w:r w:rsidRPr="003D2B66">
        <w:rPr>
          <w:rFonts w:ascii="Times New Roman" w:hAnsi="Times New Roman" w:cs="Times New Roman"/>
          <w:lang w:val="en-GB"/>
        </w:rPr>
        <w:t xml:space="preserve"> or truncation procedures (such as 95th percentile capping) were applied. The observed value distributions appeared stable and consistent with expected clinical patterns for the studied cohort. Therefore, outlier treatment was deemed unnecessary at this stage, ensuring that genuine biological variability within the patient population was preserved.</w:t>
      </w:r>
    </w:p>
    <w:p w14:paraId="18C39CB9" w14:textId="77777777" w:rsidR="003D2B66" w:rsidRPr="003D2B66" w:rsidRDefault="003D2B66" w:rsidP="00722DF4">
      <w:pPr>
        <w:spacing w:line="480" w:lineRule="auto"/>
        <w:jc w:val="both"/>
        <w:rPr>
          <w:rFonts w:ascii="Times New Roman" w:hAnsi="Times New Roman" w:cs="Times New Roman"/>
          <w:b/>
          <w:bCs/>
          <w:lang w:val="en-GB"/>
        </w:rPr>
      </w:pPr>
      <w:r w:rsidRPr="003D2B66">
        <w:rPr>
          <w:rFonts w:ascii="Times New Roman" w:hAnsi="Times New Roman" w:cs="Times New Roman"/>
          <w:b/>
          <w:bCs/>
          <w:lang w:val="en-GB"/>
        </w:rPr>
        <w:t>3. Multiple Imputation (MICE)</w:t>
      </w:r>
    </w:p>
    <w:p w14:paraId="3CEF9196" w14:textId="73EE1BFB" w:rsidR="003D2B66" w:rsidRPr="00722DF4" w:rsidRDefault="003D2B66" w:rsidP="00722DF4">
      <w:pPr>
        <w:spacing w:line="480" w:lineRule="auto"/>
        <w:jc w:val="both"/>
        <w:rPr>
          <w:rFonts w:ascii="Times New Roman" w:hAnsi="Times New Roman" w:cs="Times New Roman"/>
          <w:lang w:val="en-GB"/>
        </w:rPr>
      </w:pPr>
      <w:r w:rsidRPr="003D2B66">
        <w:rPr>
          <w:rFonts w:ascii="Times New Roman" w:hAnsi="Times New Roman" w:cs="Times New Roman"/>
          <w:lang w:val="en-GB"/>
        </w:rPr>
        <w:t xml:space="preserve">Multiple Imputation by Chained Equations (MICE) was indeed part of the imputation workflow in Phase 1, alongside Bayesian ridge regression–based imputation and contextual domain-specific </w:t>
      </w:r>
      <w:r w:rsidRPr="003D2B66">
        <w:rPr>
          <w:rFonts w:ascii="Times New Roman" w:hAnsi="Times New Roman" w:cs="Times New Roman"/>
          <w:lang w:val="en-GB"/>
        </w:rPr>
        <w:lastRenderedPageBreak/>
        <w:t>imputations.</w:t>
      </w:r>
      <w:r w:rsidRPr="00722DF4">
        <w:rPr>
          <w:rFonts w:ascii="Times New Roman" w:hAnsi="Times New Roman" w:cs="Times New Roman"/>
          <w:lang w:val="en-GB"/>
        </w:rPr>
        <w:t xml:space="preserve"> </w:t>
      </w:r>
      <w:r w:rsidRPr="003D2B66">
        <w:rPr>
          <w:rFonts w:ascii="Times New Roman" w:hAnsi="Times New Roman" w:cs="Times New Roman"/>
          <w:lang w:val="en-GB"/>
        </w:rPr>
        <w:t>The overall strategy was designed to handle missingness in a way that preserved both statistical integrity and clinical plausibility.</w:t>
      </w:r>
    </w:p>
    <w:p w14:paraId="1CFB228A" w14:textId="77777777" w:rsidR="003D2B66" w:rsidRPr="00722DF4" w:rsidRDefault="003D2B66" w:rsidP="00722DF4">
      <w:pPr>
        <w:pStyle w:val="ListParagraph"/>
        <w:numPr>
          <w:ilvl w:val="0"/>
          <w:numId w:val="1"/>
        </w:numPr>
        <w:spacing w:line="480" w:lineRule="auto"/>
        <w:jc w:val="both"/>
        <w:rPr>
          <w:rFonts w:ascii="Times New Roman" w:hAnsi="Times New Roman" w:cs="Times New Roman"/>
          <w:lang w:val="en-GB"/>
        </w:rPr>
      </w:pPr>
      <w:r w:rsidRPr="00722DF4">
        <w:rPr>
          <w:rFonts w:ascii="Times New Roman" w:hAnsi="Times New Roman" w:cs="Times New Roman"/>
          <w:b/>
          <w:bCs/>
          <w:lang w:val="en-GB"/>
        </w:rPr>
        <w:t>MICE Imputation:</w:t>
      </w:r>
      <w:r w:rsidRPr="00722DF4">
        <w:rPr>
          <w:rFonts w:ascii="Times New Roman" w:hAnsi="Times New Roman" w:cs="Times New Roman"/>
          <w:lang w:val="en-GB"/>
        </w:rPr>
        <w:t xml:space="preserve"> MICE was used for continuous and ordinal clinical variables with moderate missingness. The algorithm iteratively modelled each variable with missing values as a function of the other available variables, creating multiple complete datasets and pooling estimates. This approach was particularly valuable for laboratory and physiological measures where variables are correlated, allowing missing data to be estimated in a data-driven, statistically coherent manner.</w:t>
      </w:r>
    </w:p>
    <w:p w14:paraId="494A881B" w14:textId="77777777" w:rsidR="003D2B66" w:rsidRPr="00722DF4" w:rsidRDefault="003D2B66" w:rsidP="00722DF4">
      <w:pPr>
        <w:pStyle w:val="ListParagraph"/>
        <w:numPr>
          <w:ilvl w:val="0"/>
          <w:numId w:val="1"/>
        </w:numPr>
        <w:spacing w:line="480" w:lineRule="auto"/>
        <w:jc w:val="both"/>
        <w:rPr>
          <w:rFonts w:ascii="Times New Roman" w:hAnsi="Times New Roman" w:cs="Times New Roman"/>
          <w:lang w:val="en-GB"/>
        </w:rPr>
      </w:pPr>
      <w:r w:rsidRPr="00722DF4">
        <w:rPr>
          <w:rFonts w:ascii="Times New Roman" w:hAnsi="Times New Roman" w:cs="Times New Roman"/>
          <w:b/>
          <w:bCs/>
          <w:lang w:val="en-GB"/>
        </w:rPr>
        <w:t>Bayesian Imputation:</w:t>
      </w:r>
      <w:r w:rsidRPr="00722DF4">
        <w:rPr>
          <w:rFonts w:ascii="Times New Roman" w:hAnsi="Times New Roman" w:cs="Times New Roman"/>
          <w:lang w:val="en-GB"/>
        </w:rPr>
        <w:t xml:space="preserve"> For continuous variables showing approximately linear relationships, Bayesian ridge regression was applied. This approach uses prior distributions to stabilize estimates and propagate uncertainty, producing more robust imputations than simple mean or median substitution. It was especially useful where missingness patterns were non-random but still limited in scale.</w:t>
      </w:r>
    </w:p>
    <w:p w14:paraId="308603B4" w14:textId="4F2E9658" w:rsidR="003D2B66" w:rsidRPr="00722DF4" w:rsidRDefault="003D2B66" w:rsidP="00722DF4">
      <w:pPr>
        <w:pStyle w:val="ListParagraph"/>
        <w:numPr>
          <w:ilvl w:val="0"/>
          <w:numId w:val="1"/>
        </w:numPr>
        <w:spacing w:line="480" w:lineRule="auto"/>
        <w:jc w:val="both"/>
        <w:rPr>
          <w:rFonts w:ascii="Times New Roman" w:hAnsi="Times New Roman" w:cs="Times New Roman"/>
          <w:lang w:val="en-GB"/>
        </w:rPr>
      </w:pPr>
      <w:r w:rsidRPr="00722DF4">
        <w:rPr>
          <w:rFonts w:ascii="Times New Roman" w:hAnsi="Times New Roman" w:cs="Times New Roman"/>
          <w:b/>
          <w:bCs/>
          <w:lang w:val="en-GB"/>
        </w:rPr>
        <w:t>Contextual Imputation:</w:t>
      </w:r>
      <w:r w:rsidRPr="00722DF4">
        <w:rPr>
          <w:rFonts w:ascii="Times New Roman" w:hAnsi="Times New Roman" w:cs="Times New Roman"/>
          <w:lang w:val="en-GB"/>
        </w:rPr>
        <w:t xml:space="preserve"> Contextual imputation was applied to categorical variables where missing observations could not be reliably estimated using statistical models. In such cases, appropriate placeholder values such as “Unknown”, “Not Available”, or related clinically consistent categories were assigned. This ensured completeness without introducing artificial bias or distorting the categorical distributions.</w:t>
      </w:r>
    </w:p>
    <w:p w14:paraId="4242EE45" w14:textId="7672E071" w:rsidR="00BC64EB" w:rsidRPr="00722DF4" w:rsidRDefault="003D2B66" w:rsidP="00722DF4">
      <w:pPr>
        <w:spacing w:line="480" w:lineRule="auto"/>
        <w:jc w:val="both"/>
        <w:rPr>
          <w:rFonts w:ascii="Times New Roman" w:hAnsi="Times New Roman" w:cs="Times New Roman"/>
          <w:lang w:val="en-GB"/>
        </w:rPr>
      </w:pPr>
      <w:r w:rsidRPr="00722DF4">
        <w:rPr>
          <w:rFonts w:ascii="Times New Roman" w:hAnsi="Times New Roman" w:cs="Times New Roman"/>
          <w:lang w:val="en-GB"/>
        </w:rPr>
        <w:t xml:space="preserve">Although MICE and Bayesian imputation were successfully executed, the resulting imputations were not visualized in Phase 1, as the main goal of this phase was to prepare a fully cleaned and standardized dataset for Phase 2 (Statistical Risk Analysis). </w:t>
      </w:r>
    </w:p>
    <w:p w14:paraId="73254078" w14:textId="77777777" w:rsidR="001F58DC" w:rsidRPr="001F58DC" w:rsidRDefault="001F58DC" w:rsidP="00722DF4">
      <w:pPr>
        <w:spacing w:line="480" w:lineRule="auto"/>
        <w:jc w:val="both"/>
        <w:rPr>
          <w:rFonts w:ascii="Times New Roman" w:hAnsi="Times New Roman" w:cs="Times New Roman"/>
          <w:b/>
          <w:bCs/>
          <w:lang w:val="en-GB"/>
        </w:rPr>
      </w:pPr>
      <w:r w:rsidRPr="001F58DC">
        <w:rPr>
          <w:rFonts w:ascii="Times New Roman" w:hAnsi="Times New Roman" w:cs="Times New Roman"/>
          <w:b/>
          <w:bCs/>
          <w:lang w:val="en-GB"/>
        </w:rPr>
        <w:t>5. Logarithmic Transformations</w:t>
      </w:r>
    </w:p>
    <w:p w14:paraId="35818634" w14:textId="7B68864F" w:rsidR="001F58DC" w:rsidRPr="001F58DC" w:rsidRDefault="001F58DC" w:rsidP="00722DF4">
      <w:pPr>
        <w:spacing w:line="480" w:lineRule="auto"/>
        <w:jc w:val="both"/>
        <w:rPr>
          <w:rFonts w:ascii="Times New Roman" w:hAnsi="Times New Roman" w:cs="Times New Roman"/>
          <w:lang w:val="en-GB"/>
        </w:rPr>
      </w:pPr>
      <w:r w:rsidRPr="001F58DC">
        <w:rPr>
          <w:rFonts w:ascii="Times New Roman" w:hAnsi="Times New Roman" w:cs="Times New Roman"/>
          <w:lang w:val="en-GB"/>
        </w:rPr>
        <w:lastRenderedPageBreak/>
        <w:t>No logarithmic transformations were applied during Phase 1.</w:t>
      </w:r>
      <w:r w:rsidR="00F10EAC">
        <w:rPr>
          <w:rFonts w:ascii="Times New Roman" w:hAnsi="Times New Roman" w:cs="Times New Roman"/>
          <w:lang w:val="en-GB"/>
        </w:rPr>
        <w:t xml:space="preserve"> </w:t>
      </w:r>
      <w:r w:rsidRPr="001F58DC">
        <w:rPr>
          <w:rFonts w:ascii="Times New Roman" w:hAnsi="Times New Roman" w:cs="Times New Roman"/>
          <w:lang w:val="en-GB"/>
        </w:rPr>
        <w:t xml:space="preserve">At this stage, the focus was on data cleaning, harmonization, and imputation, not on statistical normalization or model-specific transformations. Continuous variables such as BMI, age, and </w:t>
      </w:r>
      <w:proofErr w:type="spellStart"/>
      <w:r w:rsidRPr="001F58DC">
        <w:rPr>
          <w:rFonts w:ascii="Times New Roman" w:hAnsi="Times New Roman" w:cs="Times New Roman"/>
          <w:lang w:val="en-GB"/>
        </w:rPr>
        <w:t>observation_days</w:t>
      </w:r>
      <w:proofErr w:type="spellEnd"/>
      <w:r w:rsidRPr="001F58DC">
        <w:rPr>
          <w:rFonts w:ascii="Times New Roman" w:hAnsi="Times New Roman" w:cs="Times New Roman"/>
          <w:lang w:val="en-GB"/>
        </w:rPr>
        <w:t xml:space="preserve"> were assessed for distributional skewness during profiling, but their ranges remained within plausible clinical limits, and no heavy-tailed or multiplicative patterns were observed that required log transformation.</w:t>
      </w:r>
      <w:r w:rsidRPr="00722DF4">
        <w:rPr>
          <w:rFonts w:ascii="Times New Roman" w:hAnsi="Times New Roman" w:cs="Times New Roman"/>
          <w:lang w:val="en-GB"/>
        </w:rPr>
        <w:t xml:space="preserve"> </w:t>
      </w:r>
      <w:r w:rsidRPr="001F58DC">
        <w:rPr>
          <w:rFonts w:ascii="Times New Roman" w:hAnsi="Times New Roman" w:cs="Times New Roman"/>
          <w:lang w:val="en-GB"/>
        </w:rPr>
        <w:t>For now, all continuous variables were retained in their natural measurement scales to preserve interpretability and ensure consistency with the imputation framework applied in this phase.</w:t>
      </w:r>
    </w:p>
    <w:p w14:paraId="017FE569" w14:textId="77777777" w:rsidR="001F58DC" w:rsidRPr="001F58DC" w:rsidRDefault="001F58DC" w:rsidP="00722DF4">
      <w:pPr>
        <w:spacing w:line="480" w:lineRule="auto"/>
        <w:jc w:val="both"/>
        <w:rPr>
          <w:rFonts w:ascii="Times New Roman" w:hAnsi="Times New Roman" w:cs="Times New Roman"/>
          <w:b/>
          <w:bCs/>
          <w:lang w:val="en-GB"/>
        </w:rPr>
      </w:pPr>
      <w:r w:rsidRPr="001F58DC">
        <w:rPr>
          <w:rFonts w:ascii="Times New Roman" w:hAnsi="Times New Roman" w:cs="Times New Roman"/>
          <w:b/>
          <w:bCs/>
          <w:lang w:val="en-GB"/>
        </w:rPr>
        <w:t>6. Missing Values in Clinical Variables</w:t>
      </w:r>
    </w:p>
    <w:p w14:paraId="0F3AFFDD" w14:textId="0566E179" w:rsidR="001F58DC" w:rsidRPr="001F58DC" w:rsidRDefault="001F58DC" w:rsidP="00722DF4">
      <w:pPr>
        <w:spacing w:line="480" w:lineRule="auto"/>
        <w:jc w:val="both"/>
        <w:rPr>
          <w:rFonts w:ascii="Times New Roman" w:hAnsi="Times New Roman" w:cs="Times New Roman"/>
          <w:lang w:val="en-GB"/>
        </w:rPr>
      </w:pPr>
      <w:r w:rsidRPr="001F58DC">
        <w:rPr>
          <w:rFonts w:ascii="Times New Roman" w:hAnsi="Times New Roman" w:cs="Times New Roman"/>
          <w:lang w:val="en-GB"/>
        </w:rPr>
        <w:t>Phase 1 prioritized data authenticity over completeness, treating missingness in key clinical variables as potentially informative signals rather than random noise. This approach ensures that the downstream models can later distinguish between “missing because not applicable” and “missing due to incomplete data collection.”</w:t>
      </w:r>
    </w:p>
    <w:p w14:paraId="74D18C05" w14:textId="3D5BCCDF" w:rsidR="001F58DC" w:rsidRPr="001F58DC" w:rsidRDefault="001F58DC" w:rsidP="00722DF4">
      <w:pPr>
        <w:spacing w:line="480" w:lineRule="auto"/>
        <w:jc w:val="both"/>
        <w:rPr>
          <w:rFonts w:ascii="Times New Roman" w:hAnsi="Times New Roman" w:cs="Times New Roman"/>
          <w:b/>
          <w:bCs/>
          <w:lang w:val="en-GB"/>
        </w:rPr>
      </w:pPr>
      <w:r w:rsidRPr="001F58DC">
        <w:rPr>
          <w:rFonts w:ascii="Times New Roman" w:hAnsi="Times New Roman" w:cs="Times New Roman"/>
          <w:b/>
          <w:bCs/>
          <w:lang w:val="en-GB"/>
        </w:rPr>
        <w:t>7. DPYD Polymorphisms</w:t>
      </w:r>
    </w:p>
    <w:p w14:paraId="565EAC61" w14:textId="2A9E03AC" w:rsidR="001F58DC" w:rsidRPr="001F58DC" w:rsidRDefault="001F58DC" w:rsidP="00722DF4">
      <w:pPr>
        <w:spacing w:line="480" w:lineRule="auto"/>
        <w:jc w:val="both"/>
        <w:rPr>
          <w:rFonts w:ascii="Times New Roman" w:hAnsi="Times New Roman" w:cs="Times New Roman"/>
          <w:lang w:val="en-GB"/>
        </w:rPr>
      </w:pPr>
      <w:r w:rsidRPr="001F58DC">
        <w:rPr>
          <w:rFonts w:ascii="Times New Roman" w:hAnsi="Times New Roman" w:cs="Times New Roman"/>
          <w:lang w:val="en-GB"/>
        </w:rPr>
        <w:t xml:space="preserve">The DPYD genotype variable was included in the dataset and handled with </w:t>
      </w:r>
      <w:r w:rsidRPr="00722DF4">
        <w:rPr>
          <w:rFonts w:ascii="Times New Roman" w:hAnsi="Times New Roman" w:cs="Times New Roman"/>
          <w:lang w:val="en-GB"/>
        </w:rPr>
        <w:t>caution</w:t>
      </w:r>
      <w:r w:rsidRPr="001F58DC">
        <w:rPr>
          <w:rFonts w:ascii="Times New Roman" w:hAnsi="Times New Roman" w:cs="Times New Roman"/>
          <w:lang w:val="en-GB"/>
        </w:rPr>
        <w:t xml:space="preserve"> due to its strong clinical relevance. Variants in the DPYD gene are well-established predictors of fluoropyrimidine toxicity, and international pharmacogenomic guidelines (CPIC, EMA, and NCCN) recommend DPYD genotyping prior to fluoropyrimidine-based therapy.</w:t>
      </w:r>
    </w:p>
    <w:p w14:paraId="01B9841E" w14:textId="2337F250" w:rsidR="001F58DC" w:rsidRPr="001B7EE8" w:rsidRDefault="001F58DC" w:rsidP="00722DF4">
      <w:pPr>
        <w:spacing w:line="480" w:lineRule="auto"/>
        <w:jc w:val="both"/>
        <w:rPr>
          <w:rFonts w:ascii="Times New Roman" w:hAnsi="Times New Roman" w:cs="Times New Roman"/>
          <w:lang w:val="en-GB"/>
        </w:rPr>
      </w:pPr>
      <w:r w:rsidRPr="00722DF4">
        <w:rPr>
          <w:rFonts w:ascii="Times New Roman" w:hAnsi="Times New Roman" w:cs="Times New Roman"/>
          <w:lang w:val="en-GB"/>
        </w:rPr>
        <w:t xml:space="preserve">During data cleaning and imputation, DPYD-related fields (particularly </w:t>
      </w:r>
      <w:proofErr w:type="spellStart"/>
      <w:r w:rsidRPr="00722DF4">
        <w:rPr>
          <w:rFonts w:ascii="Times New Roman" w:hAnsi="Times New Roman" w:cs="Times New Roman"/>
          <w:lang w:val="en-GB"/>
        </w:rPr>
        <w:t>dpyd_genotype_type</w:t>
      </w:r>
      <w:proofErr w:type="spellEnd"/>
      <w:r w:rsidRPr="00722DF4">
        <w:rPr>
          <w:rFonts w:ascii="Times New Roman" w:hAnsi="Times New Roman" w:cs="Times New Roman"/>
          <w:lang w:val="en-GB"/>
        </w:rPr>
        <w:t xml:space="preserve">) were examined for completeness and internal consistency. Approximately 8 missing observations were identified. Given the clinical importance and potential non-random nature of this missingness, these values were not statistically imputed using generic algorithms. Instead, they were addressed through contextual imputation, assigning “Unknown” for undetermined cases </w:t>
      </w:r>
      <w:r w:rsidRPr="00722DF4">
        <w:rPr>
          <w:rFonts w:ascii="Times New Roman" w:hAnsi="Times New Roman" w:cs="Times New Roman"/>
          <w:lang w:val="en-GB"/>
        </w:rPr>
        <w:lastRenderedPageBreak/>
        <w:t xml:space="preserve">rather than inferring genotypes. This preserves the interpretive value of the variable and avoids introducing artificial genotype distributions. </w:t>
      </w:r>
      <w:r w:rsidRPr="00722DF4">
        <w:rPr>
          <w:rFonts w:ascii="Times New Roman" w:hAnsi="Times New Roman" w:cs="Times New Roman"/>
        </w:rPr>
        <w:t xml:space="preserve">Overall, the treatment of </w:t>
      </w:r>
      <w:r w:rsidRPr="00722DF4">
        <w:rPr>
          <w:rFonts w:ascii="Times New Roman" w:hAnsi="Times New Roman" w:cs="Times New Roman"/>
          <w:i/>
          <w:iCs/>
        </w:rPr>
        <w:t>DPYD polymorphisms</w:t>
      </w:r>
      <w:r w:rsidRPr="00722DF4">
        <w:rPr>
          <w:rFonts w:ascii="Times New Roman" w:hAnsi="Times New Roman" w:cs="Times New Roman"/>
        </w:rPr>
        <w:t xml:space="preserve"> followed a clinically guided approach prioritizing accuracy and guideline alignment over statistical completeness to maintain fidelity to pharmacogenomic best practices.</w:t>
      </w:r>
    </w:p>
    <w:p w14:paraId="45B98DAC" w14:textId="77777777" w:rsidR="008B5AA9" w:rsidRPr="00722DF4" w:rsidRDefault="008B5AA9" w:rsidP="00722DF4">
      <w:pPr>
        <w:spacing w:line="480" w:lineRule="auto"/>
        <w:jc w:val="both"/>
        <w:rPr>
          <w:rFonts w:ascii="Times New Roman" w:hAnsi="Times New Roman" w:cs="Times New Roman"/>
        </w:rPr>
      </w:pPr>
    </w:p>
    <w:sectPr w:rsidR="008B5AA9" w:rsidRPr="00722DF4">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A07E6"/>
    <w:multiLevelType w:val="hybridMultilevel"/>
    <w:tmpl w:val="41EC536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66D126CA"/>
    <w:multiLevelType w:val="multilevel"/>
    <w:tmpl w:val="84682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38302704">
    <w:abstractNumId w:val="0"/>
  </w:num>
  <w:num w:numId="2" w16cid:durableId="30054863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7EE8"/>
    <w:rsid w:val="001B7EE8"/>
    <w:rsid w:val="001F58DC"/>
    <w:rsid w:val="003D2B66"/>
    <w:rsid w:val="0044026A"/>
    <w:rsid w:val="00633A39"/>
    <w:rsid w:val="00722DF4"/>
    <w:rsid w:val="008B5AA9"/>
    <w:rsid w:val="00B04B86"/>
    <w:rsid w:val="00BC64EB"/>
    <w:rsid w:val="00F10EA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5E835D"/>
  <w15:chartTrackingRefBased/>
  <w15:docId w15:val="{89C81353-E431-4715-B65F-C2F464DC55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B7EE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B7EE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B7EE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B7EE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B7EE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B7EE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B7EE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B7EE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B7EE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B7EE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B7EE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B7EE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B7EE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B7EE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B7EE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B7EE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B7EE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B7EE8"/>
    <w:rPr>
      <w:rFonts w:eastAsiaTheme="majorEastAsia" w:cstheme="majorBidi"/>
      <w:color w:val="272727" w:themeColor="text1" w:themeTint="D8"/>
    </w:rPr>
  </w:style>
  <w:style w:type="paragraph" w:styleId="Title">
    <w:name w:val="Title"/>
    <w:basedOn w:val="Normal"/>
    <w:next w:val="Normal"/>
    <w:link w:val="TitleChar"/>
    <w:uiPriority w:val="10"/>
    <w:qFormat/>
    <w:rsid w:val="001B7EE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B7EE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B7EE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B7EE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B7EE8"/>
    <w:pPr>
      <w:spacing w:before="160"/>
      <w:jc w:val="center"/>
    </w:pPr>
    <w:rPr>
      <w:i/>
      <w:iCs/>
      <w:color w:val="404040" w:themeColor="text1" w:themeTint="BF"/>
    </w:rPr>
  </w:style>
  <w:style w:type="character" w:customStyle="1" w:styleId="QuoteChar">
    <w:name w:val="Quote Char"/>
    <w:basedOn w:val="DefaultParagraphFont"/>
    <w:link w:val="Quote"/>
    <w:uiPriority w:val="29"/>
    <w:rsid w:val="001B7EE8"/>
    <w:rPr>
      <w:i/>
      <w:iCs/>
      <w:color w:val="404040" w:themeColor="text1" w:themeTint="BF"/>
    </w:rPr>
  </w:style>
  <w:style w:type="paragraph" w:styleId="ListParagraph">
    <w:name w:val="List Paragraph"/>
    <w:basedOn w:val="Normal"/>
    <w:uiPriority w:val="34"/>
    <w:qFormat/>
    <w:rsid w:val="001B7EE8"/>
    <w:pPr>
      <w:ind w:left="720"/>
      <w:contextualSpacing/>
    </w:pPr>
  </w:style>
  <w:style w:type="character" w:styleId="IntenseEmphasis">
    <w:name w:val="Intense Emphasis"/>
    <w:basedOn w:val="DefaultParagraphFont"/>
    <w:uiPriority w:val="21"/>
    <w:qFormat/>
    <w:rsid w:val="001B7EE8"/>
    <w:rPr>
      <w:i/>
      <w:iCs/>
      <w:color w:val="0F4761" w:themeColor="accent1" w:themeShade="BF"/>
    </w:rPr>
  </w:style>
  <w:style w:type="paragraph" w:styleId="IntenseQuote">
    <w:name w:val="Intense Quote"/>
    <w:basedOn w:val="Normal"/>
    <w:next w:val="Normal"/>
    <w:link w:val="IntenseQuoteChar"/>
    <w:uiPriority w:val="30"/>
    <w:qFormat/>
    <w:rsid w:val="001B7EE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B7EE8"/>
    <w:rPr>
      <w:i/>
      <w:iCs/>
      <w:color w:val="0F4761" w:themeColor="accent1" w:themeShade="BF"/>
    </w:rPr>
  </w:style>
  <w:style w:type="character" w:styleId="IntenseReference">
    <w:name w:val="Intense Reference"/>
    <w:basedOn w:val="DefaultParagraphFont"/>
    <w:uiPriority w:val="32"/>
    <w:qFormat/>
    <w:rsid w:val="001B7EE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64</TotalTime>
  <Pages>4</Pages>
  <Words>846</Words>
  <Characters>4826</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Olufemi Yusuf</dc:creator>
  <cp:keywords/>
  <dc:description/>
  <cp:lastModifiedBy>Olufemi Yusuf</cp:lastModifiedBy>
  <cp:revision>3</cp:revision>
  <dcterms:created xsi:type="dcterms:W3CDTF">2025-10-31T08:26:00Z</dcterms:created>
  <dcterms:modified xsi:type="dcterms:W3CDTF">2025-10-31T09:32:00Z</dcterms:modified>
</cp:coreProperties>
</file>