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Desarrollo Proyecto APT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Asignatura Capstone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1f386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BIOEQUI  |  Iván Fernández · Diego Fuentes  |  Duoc UC — San Joaquín (PTY4614)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1. Resumen avance Proyecto APT</w:t>
      </w:r>
      <w:r w:rsidDel="00000000" w:rsidR="00000000" w:rsidRPr="00000000">
        <w:rPr>
          <w:color w:val="1f386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2.48031496063"/>
        <w:gridCol w:w="6477.51968503937"/>
        <w:tblGridChange w:id="0">
          <w:tblGrid>
            <w:gridCol w:w="2552.48031496063"/>
            <w:gridCol w:w="6477.51968503937"/>
          </w:tblGrid>
        </w:tblGridChange>
      </w:tblGrid>
      <w:tr>
        <w:trPr>
          <w:cantSplit w:val="0"/>
          <w:trHeight w:val="54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ind w:left="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>
            <w:tcBorders>
              <w:top w:color="bfbfbf" w:space="0" w:sz="5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la fecha, el equipo avanzó desde la fase de definición e ingesta cruda hacia una plataforma y arquitectura funcional. Se implementó una reestructuración profunda del repositorio local y remoto, centralizando el código en la carpeta DESARROLLO_PROYECTO para evitar errores de versionamiento.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Técnicamente, se completaron los pipelines de extracción y normalización de catálogos (capas bronce y plata), integrando con éxito un nuevo módulo de web scraping para la farmacia Profar. El backend de base de datos PostgreSQL fue desplegado utilizando contenedores Docker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docker-compose.yml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incluyendo su script de inicialización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init_v2.sql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nivel operativo, se superaron bloqueos críticos: se solucionó la dependencia faltante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psycopg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en el entorno virtual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y se evadió el bloqueo del firewall de Cruz Verde (Error 401) renovando dinámicamente las cabeceras HTTP de red (User-Agent y Cookies). El desarrollo de la API REST (FastAPI) y la interfaz web continúan en curso.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ind w:left="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plataforma web que identifique medicamentos bioequivalentes certificados por el ISP a partir de un medicamento comercial y compare sus precios entre cadenas de farmacias de Chile, integrando un registro histórico de precios. Objetivos específicos cumplidos hasta el momento: </w:t>
            </w:r>
          </w:p>
          <w:p w:rsidR="00000000" w:rsidDel="00000000" w:rsidP="00000000" w:rsidRDefault="00000000" w:rsidRPr="00000000" w14:paraId="0000002F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Construir extractores de datos funcionales (Ahumada, Dr. Simi, Cruz Verde, Profar). </w:t>
            </w:r>
          </w:p>
          <w:p w:rsidR="00000000" w:rsidDel="00000000" w:rsidP="00000000" w:rsidRDefault="00000000" w:rsidRPr="00000000" w14:paraId="00000030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Estructurar el modelo de base de datos relacional y desplegarlo en Docker. </w:t>
            </w:r>
          </w:p>
          <w:p w:rsidR="00000000" w:rsidDel="00000000" w:rsidP="00000000" w:rsidRDefault="00000000" w:rsidRPr="00000000" w14:paraId="00000031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Consolidar un repositorio limpio y ordenado para trabajo colaborativo en Git. 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ind w:left="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el enfoque ágil y la arquitectura por capas de datos (bronce, plata, oro). El ajuste principal radicó en la gestión DevOps y de Git: para asegurar la integridad de la entrega, se adoptó la regla de aislar toda la lógica en la carpeta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Desarrollo_Proyecto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dejando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.gitignore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el entorno virtual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venv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en la raíz del entorno local. </w:t>
            </w:r>
          </w:p>
        </w:tc>
      </w:tr>
      <w:tr>
        <w:trPr>
          <w:cantSplit w:val="0"/>
          <w:trHeight w:val="408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ind w:left="0" w:firstLine="0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evidencias (adjuntas en la carpeta del repositorio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Fase 2 / Evidencias 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demuestran la evolución técnica de bioEqui: </w:t>
            </w:r>
          </w:p>
          <w:p w:rsidR="00000000" w:rsidDel="00000000" w:rsidP="00000000" w:rsidRDefault="00000000" w:rsidRPr="00000000" w14:paraId="00000036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Repositorio GitHub con la nueva estructura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Desarrollo_Proyecto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integrada exitosamente a las ramas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7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Archivo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docker-compose.yml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funcional que demuestra la capacidad de despliegue contenerizado. </w:t>
            </w:r>
          </w:p>
          <w:p w:rsidR="00000000" w:rsidDel="00000000" w:rsidP="00000000" w:rsidRDefault="00000000" w:rsidRPr="00000000" w14:paraId="00000038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Evidencia en código del pipeline de extracción adaptativo (ej. el módulo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descargar_catalogo_cruzverde.py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inyección de cabeceras). </w:t>
            </w:r>
          </w:p>
          <w:p w:rsidR="00000000" w:rsidDel="00000000" w:rsidP="00000000" w:rsidRDefault="00000000" w:rsidRPr="00000000" w14:paraId="00000039">
            <w:pPr>
              <w:spacing w:after="160" w:lineRule="auto"/>
              <w:ind w:lef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Listado de dependencias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requirements.txt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actualizado para despliegues limpios en entornos aislados. 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2. Monitoreo del Plan de Trabajo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65.0" w:type="dxa"/>
        <w:jc w:val="left"/>
        <w:tblInd w:w="-12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1440"/>
        <w:gridCol w:w="1380"/>
        <w:gridCol w:w="105"/>
        <w:gridCol w:w="1290"/>
        <w:gridCol w:w="1545"/>
        <w:gridCol w:w="1140"/>
        <w:gridCol w:w="1125"/>
        <w:gridCol w:w="1155"/>
        <w:tblGridChange w:id="0">
          <w:tblGrid>
            <w:gridCol w:w="1785"/>
            <w:gridCol w:w="1440"/>
            <w:gridCol w:w="1380"/>
            <w:gridCol w:w="105"/>
            <w:gridCol w:w="1290"/>
            <w:gridCol w:w="1545"/>
            <w:gridCol w:w="1140"/>
            <w:gridCol w:w="1125"/>
            <w:gridCol w:w="11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9"/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Duracion de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Rule="auto"/>
              <w:ind w:left="140" w:right="140" w:firstLine="0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transformación de grandes volúmenes de datos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extractores de farmacias (Profar, Cruz Verde) e ingesta en capa bronce.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Python, requests, BeautifulSoup,APIs públicas.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semanas (S8-S10)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Iván Fernández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rate limiting y la caducidad de cookies bloquearon temporalmente a Cruz Verde (error HTTP 401).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rediseñó el script de extracción para inyectar cabeceras HTTP y Cookies reales de navegador. 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/ Gestionar proyectos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Refactorización de la estructura del proyecto y despliegue del entorno PostgreSQL.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Git, GitHub, Docker Compose, PostgreSQL.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semanas (S6-S7)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(Diego / Iván)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Conflictos al mover archivos en Git y errores de caché en Docker al montar el archivo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init_v2.sql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Uso intensivo de ramas (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develop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 y comandos de reconstrucción forzada en Docker (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docker rm -f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).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la API REST y conexión a base de datos.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FastAPI, Uvicorn, psycopg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semanas (S11-S12)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Diego Fuentes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Incompatibilidad de librerías en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requirements.txt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causó caídas de conexión al entorno.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Actualización estricta de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psycopg2-binary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a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psycopg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programas y rutinas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la aplicación web frontend.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React, Vite.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semanas (S11-S13)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Iván Fernández / Diego Fuentes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Pendiente de la estabilización completa de los endpoints de la API.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curso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Rule="auto"/>
              <w:ind w:left="140" w:right="14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N/A. 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595959"/>
        </w:rPr>
      </w:pPr>
      <w:r w:rsidDel="00000000" w:rsidR="00000000" w:rsidRPr="00000000">
        <w:rPr>
          <w:color w:val="595959"/>
          <w:sz w:val="20"/>
          <w:szCs w:val="20"/>
          <w:rtl w:val="0"/>
        </w:rPr>
        <w:t xml:space="preserve">[1]</w:t>
      </w:r>
      <w:r w:rsidDel="00000000" w:rsidR="00000000" w:rsidRPr="00000000">
        <w:rPr>
          <w:color w:val="595959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tbl>
      <w:tblPr>
        <w:tblStyle w:val="Table3"/>
        <w:tblW w:w="8622.9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2.992125984252"/>
        <w:tblGridChange w:id="0">
          <w:tblGrid>
            <w:gridCol w:w="8622.99212598425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60" w:lineRule="auto"/>
              <w:ind w:left="0" w:firstLine="0"/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ind w:left="141.7322834645671" w:firstLine="0"/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91">
      <w:pPr>
        <w:spacing w:after="16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tbl>
      <w:tblPr>
        <w:tblStyle w:val="Table4"/>
        <w:tblW w:w="8622.9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2.992125984252"/>
        <w:tblGridChange w:id="0">
          <w:tblGrid>
            <w:gridCol w:w="8622.992125984252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60" w:lineRule="auto"/>
              <w:ind w:left="140" w:right="140" w:firstLine="0"/>
              <w:jc w:val="both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spacing w:after="16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El principal facilitador ha sido el modelo de arquitectura por capas (bronce, plata, oro). Esto permitió aislar fallos: si la extracción de una farmacia fallaba, la base de datos no se veía afectada. Sin embargo, enfrentamos dos dificultades técnicas mayores: </w:t>
            </w:r>
          </w:p>
          <w:p w:rsidR="00000000" w:rsidDel="00000000" w:rsidP="00000000" w:rsidRDefault="00000000" w:rsidRPr="00000000" w14:paraId="00000094">
            <w:pPr>
              <w:spacing w:after="16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DevOps y Control de Versiones:</w:t>
            </w:r>
            <w:r w:rsidDel="00000000" w:rsidR="00000000" w:rsidRPr="00000000">
              <w:rPr>
                <w:rtl w:val="0"/>
              </w:rPr>
              <w:t xml:space="preserve"> Un fallo al mover archivos casi compromete el repositorio </w:t>
            </w:r>
            <w:r w:rsidDel="00000000" w:rsidR="00000000" w:rsidRPr="00000000">
              <w:rPr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, y los volúmenes de Docker memorizaron rutas locales antiguas, impidiendo arrancar el contenedor de PostgreSQL. Lo solucionamos eliminando de raíz el contenedor obsoleto y recreando el volumen con la nueva ruta de </w:t>
            </w:r>
            <w:r w:rsidDel="00000000" w:rsidR="00000000" w:rsidRPr="00000000">
              <w:rPr>
                <w:rtl w:val="0"/>
              </w:rPr>
              <w:t xml:space="preserve">Desarrollo_Proyecto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95">
            <w:pPr>
              <w:spacing w:after="160" w:lineRule="auto"/>
              <w:ind w:left="140" w:right="14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Protecciones Anti-Bot (Web Scraping):</w:t>
            </w:r>
            <w:r w:rsidDel="00000000" w:rsidR="00000000" w:rsidRPr="00000000">
              <w:rPr>
                <w:rtl w:val="0"/>
              </w:rPr>
              <w:t xml:space="preserve"> Cruz Verde bloqueó el script arrojando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  <w:t xml:space="preserve"> por caducidad de sesión. Se solucionó capturando los headers exactos de Google Chrome mediante herramientas de desarrollador e inyectándolos en la petición.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6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 </w:t>
      </w:r>
    </w:p>
    <w:tbl>
      <w:tblPr>
        <w:tblStyle w:val="Table5"/>
        <w:tblW w:w="8622.9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2.992125984252"/>
        <w:tblGridChange w:id="0">
          <w:tblGrid>
            <w:gridCol w:w="8622.992125984252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6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98">
            <w:pPr>
              <w:spacing w:after="160" w:lineRule="auto"/>
              <w:ind w:left="140" w:right="1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ajuste más importante fue la reorganización drástica de la estructura del proyecto en medio del ciclo. Decidimos pausar el código para agrupar módulos sueltos bajo la carpeta </w:t>
            </w:r>
            <w:r w:rsidDel="00000000" w:rsidR="00000000" w:rsidRPr="00000000">
              <w:rPr>
                <w:rtl w:val="0"/>
              </w:rPr>
              <w:t xml:space="preserve">Desarrollo_Proyecto</w:t>
            </w:r>
            <w:r w:rsidDel="00000000" w:rsidR="00000000" w:rsidRPr="00000000">
              <w:rPr>
                <w:rtl w:val="0"/>
              </w:rPr>
              <w:t xml:space="preserve">. Esto fue fundamental para mantener el repositorio ordenado antes de que creciera más. Además, ajustamos el archivo </w:t>
            </w:r>
            <w:r w:rsidDel="00000000" w:rsidR="00000000" w:rsidRPr="00000000">
              <w:rPr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  <w:t xml:space="preserve"> sobre la marcha para asegurar la compatibilidad del controlador de base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60" w:lineRule="auto"/>
              <w:ind w:left="140" w:right="140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A">
      <w:pPr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i w:val="1"/>
          <w:iCs w:val="1"/>
          <w:color w:val="548dd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B">
      <w:pPr>
        <w:jc w:val="both"/>
        <w:rPr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i w:val="1"/>
          <w:iCs w:val="1"/>
          <w:color w:val="548dd4"/>
          <w:sz w:val="20"/>
          <w:szCs w:val="20"/>
          <w:rtl w:val="0"/>
        </w:rPr>
        <w:t xml:space="preserve"> </w:t>
      </w:r>
    </w:p>
    <w:tbl>
      <w:tblPr>
        <w:tblStyle w:val="Table6"/>
        <w:tblW w:w="8622.9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22.992125984252"/>
        <w:tblGridChange w:id="0">
          <w:tblGrid>
            <w:gridCol w:w="8622.992125984252"/>
          </w:tblGrid>
        </w:tblGridChange>
      </w:tblGrid>
      <w:tr>
        <w:trPr>
          <w:cantSplit w:val="0"/>
          <w:trHeight w:val="1965" w:hRule="atLeast"/>
          <w:tblHeader w:val="0"/>
        </w:trPr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60" w:lineRule="auto"/>
              <w:ind w:left="141.7322834645671" w:firstLine="0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</w:t>
            </w:r>
          </w:p>
          <w:p w:rsidR="00000000" w:rsidDel="00000000" w:rsidP="00000000" w:rsidRDefault="00000000" w:rsidRPr="00000000" w14:paraId="0000009D">
            <w:pPr>
              <w:spacing w:after="160" w:lineRule="auto"/>
              <w:ind w:left="141.7322834645671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de las interfaces visuales en Front-end (React) está condicionado a la entrega final de los endpoints del Backend (FastAPI). Para mitigar este cuello de botella y no retrasar el proyecto, el enfoque actual será consumir respuestas estáticas temporales en el frontend mientras se consolida la conexión real a PostgreSQL.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842.51968503937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3852863</wp:posOffset>
          </wp:positionH>
          <wp:positionV relativeFrom="paragraph">
            <wp:posOffset>-219074</wp:posOffset>
          </wp:positionV>
          <wp:extent cx="2586038" cy="55189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6038" cy="55189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7"/>
      <w:tblW w:w="9025.511811023624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025.511811023624"/>
      <w:tblGridChange w:id="0">
        <w:tblGrid>
          <w:gridCol w:w="9025.511811023624"/>
        </w:tblGrid>
      </w:tblGridChange>
    </w:tblGrid>
    <w:tr>
      <w:trPr>
        <w:cantSplit w:val="0"/>
        <w:trHeight w:val="69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0.0" w:type="dxa"/>
            <w:bottom w:w="0.0" w:type="dxa"/>
            <w:right w:w="100.0" w:type="dxa"/>
          </w:tcMar>
          <w:vAlign w:val="top"/>
        </w:tcPr>
        <w:p w:rsidR="00000000" w:rsidDel="00000000" w:rsidP="00000000" w:rsidRDefault="00000000" w:rsidRPr="00000000" w14:paraId="000000A0">
          <w:pPr>
            <w:ind w:left="-700" w:firstLine="0"/>
            <w:rPr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color w:val="1d2763"/>
              <w:sz w:val="24"/>
              <w:szCs w:val="24"/>
              <w:rtl w:val="0"/>
            </w:rPr>
            <w:t xml:space="preserve">Gu    Estudiante - Desarrollo Proyecto APT 2</w:t>
          </w:r>
        </w:p>
      </w:tc>
    </w:tr>
  </w:tbl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