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3F8F1805"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Resumen</w:t>
            </w:r>
          </w:p>
          <w:p w14:paraId="6F995DF1"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BioEqui es una plataforma web que integra el catálogo oficial de medicamentos bioequivalentes del Instituto de Salud Pública (ISP) con los catálogos públicos de tres cadenas farmacéuticas chilenas (Dr. Simi, Cruz Verde y Ahumada), para que una persona pueda encontrar las alternativas equivalentes a un medicamento comercial y comparar sus precios entre farmacias. El problema que aborda es la fragmentación de la información: el ISP certifica qué productos son intercambiables y las farmacias publican sus precios, pero ninguna fuente cruza ambos datos. La solución se basa en un proceso de datos en tres capas (bronce, plata y oro), un motor de homologación estricta, una base de datos PostgreSQL con historial de precios, una API REST en FastAPI y una aplicación web en React, desarrollados con Scrum en cuatro sprints.</w:t>
            </w:r>
          </w:p>
          <w:p w14:paraId="69B5D67E"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Abstract</w:t>
            </w:r>
          </w:p>
          <w:p w14:paraId="7FF287FF"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BioEqui is a web platform that integrates the official catalog of bioequivalent drugs from Chile's Public Health Institute (ISP) with the public catalogs of three Chilean pharmacy chains (Dr. Simi, Cruz Verde and Ahumada), so that people can find the equivalent alternatives to a brand-name drug and compare their prices across pharmacies. The project addresses a problem of fragmented information: the ISP certifies which products are interchangeable and pharmacies publish their prices, but no source combines both. The solution is based on a three-layer data pipeline (bronze, silver and gold), a strict matching engine, a PostgreSQL database with price history, a REST API built with FastAPI and a web application built with React, developed with Scrum in four sprints.</w:t>
            </w:r>
          </w:p>
          <w:p w14:paraId="165834E1"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1. Descripción del proyecto y relevancia</w:t>
            </w:r>
          </w:p>
          <w:p w14:paraId="50F15D4D"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En Chile, el gasto en medicamentos recae principalmente en las familias. El gasto de bolsillo representa cerca del 32% del gasto total en salud, y el 40% de ese gasto corresponde a medicamentos (Banco Interamericano de Desarrollo [BID], 2023). Los hogares financian el 62% del gasto total en medicamentos (Cámara de la Innovación Farmacéutica de Chile [CIF], 2025). La política de bioequivalencia permite acceder a alternativas certificadas y más económicas, pero la información está separada: el ISP publica qué productos son intercambiables y cada farmacia publica sus precios en su propio sitio.</w:t>
            </w:r>
          </w:p>
          <w:p w14:paraId="56952A57"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BioEqui cruza ambas fuentes. Vincula cada producto de farmacia con su registro sanitario, agrupa solo los productos realmente comparables (mismo principio activo, dosis, forma farmacéutica y tamaño de envase) y muestra sus precios lado a lado junto con su historial. Además, distingue lo que certifica el ISP de lo que solo declara la farmacia.</w:t>
            </w:r>
          </w:p>
          <w:p w14:paraId="33861D81"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El proyecto es relevante para el campo laboral porque integrar fuentes que describen lo mismo de forma distinta es un problema habitual en las organizaciones, por ejemplo al unificar sistemas de ventas, inventario o clientes. También tiene un beneficio social directo para pacientes con tratamientos crónicos y adultos mayores, cuyo gasto en medicamentos es recurrente.</w:t>
            </w:r>
          </w:p>
          <w:p w14:paraId="3B26A5CC"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2. Relación con las competencias del perfil de egreso</w:t>
            </w:r>
          </w:p>
          <w:p w14:paraId="54B344F8"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El proyecto integra ocho competencias de especialidad del perfil de egreso (Duoc UC, 2023):</w:t>
            </w:r>
          </w:p>
          <w:p w14:paraId="7C69D155"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lastRenderedPageBreak/>
              <w:t>Ofrecer propuestas de solución informática:</w:t>
            </w:r>
            <w:r w:rsidRPr="002570D0">
              <w:rPr>
                <w:rFonts w:asciiTheme="minorHAnsi" w:eastAsiaTheme="minorEastAsia" w:hAnsiTheme="minorHAnsi" w:cstheme="minorBidi"/>
                <w:color w:val="000000" w:themeColor="text1"/>
                <w:sz w:val="22"/>
                <w:szCs w:val="22"/>
                <w:lang w:val="es-MX"/>
              </w:rPr>
              <w:t xml:space="preserve"> analizamos cómo una persona busca alternativas a un medicamento y qué fuentes existen, para definir un alcance realista.</w:t>
            </w:r>
          </w:p>
          <w:p w14:paraId="029091A9"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Construir modelos de datos:</w:t>
            </w:r>
            <w:r w:rsidRPr="002570D0">
              <w:rPr>
                <w:rFonts w:asciiTheme="minorHAnsi" w:eastAsiaTheme="minorEastAsia" w:hAnsiTheme="minorHAnsi" w:cstheme="minorBidi"/>
                <w:color w:val="000000" w:themeColor="text1"/>
                <w:sz w:val="22"/>
                <w:szCs w:val="22"/>
                <w:lang w:val="es-MX"/>
              </w:rPr>
              <w:t xml:space="preserve"> diseñamos un modelo relacional donde un medicamento puede tener varios principios activos y la dosis es un atributo de esa relación.</w:t>
            </w:r>
          </w:p>
          <w:p w14:paraId="7F30A388"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Programar consultas o rutinas de base de datos:</w:t>
            </w:r>
            <w:r w:rsidRPr="002570D0">
              <w:rPr>
                <w:rFonts w:asciiTheme="minorHAnsi" w:eastAsiaTheme="minorEastAsia" w:hAnsiTheme="minorHAnsi" w:cstheme="minorBidi"/>
                <w:color w:val="000000" w:themeColor="text1"/>
                <w:sz w:val="22"/>
                <w:szCs w:val="22"/>
                <w:lang w:val="es-MX"/>
              </w:rPr>
              <w:t xml:space="preserve"> creamos el esquema en PostgreSQL y un proceso de carga con historial de precios sin duplicados.</w:t>
            </w:r>
          </w:p>
          <w:p w14:paraId="07FE9FE2"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Construir programas y rutinas:</w:t>
            </w:r>
            <w:r w:rsidRPr="002570D0">
              <w:rPr>
                <w:rFonts w:asciiTheme="minorHAnsi" w:eastAsiaTheme="minorEastAsia" w:hAnsiTheme="minorHAnsi" w:cstheme="minorBidi"/>
                <w:color w:val="000000" w:themeColor="text1"/>
                <w:sz w:val="22"/>
                <w:szCs w:val="22"/>
                <w:lang w:val="es-MX"/>
              </w:rPr>
              <w:t xml:space="preserve"> desarrollamos un extractor independiente por farmacia y la normalización de cada fuente.</w:t>
            </w:r>
          </w:p>
          <w:p w14:paraId="4E4854E0"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Desarrollar una solución de software:</w:t>
            </w:r>
            <w:r w:rsidRPr="002570D0">
              <w:rPr>
                <w:rFonts w:asciiTheme="minorHAnsi" w:eastAsiaTheme="minorEastAsia" w:hAnsiTheme="minorHAnsi" w:cstheme="minorBidi"/>
                <w:color w:val="000000" w:themeColor="text1"/>
                <w:sz w:val="22"/>
                <w:szCs w:val="22"/>
                <w:lang w:val="es-MX"/>
              </w:rPr>
              <w:t xml:space="preserve"> construimos la API REST y la aplicación web como componentes separados y versionados.</w:t>
            </w:r>
          </w:p>
          <w:p w14:paraId="47ED02EC"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Realizar pruebas de certificación:</w:t>
            </w:r>
            <w:r w:rsidRPr="002570D0">
              <w:rPr>
                <w:rFonts w:asciiTheme="minorHAnsi" w:eastAsiaTheme="minorEastAsia" w:hAnsiTheme="minorHAnsi" w:cstheme="minorBidi"/>
                <w:color w:val="000000" w:themeColor="text1"/>
                <w:sz w:val="22"/>
                <w:szCs w:val="22"/>
                <w:lang w:val="es-MX"/>
              </w:rPr>
              <w:t xml:space="preserve"> diseñamos validaciones de datos, restricciones de integridad y pruebas funcionales.</w:t>
            </w:r>
          </w:p>
          <w:p w14:paraId="6A95E0A3"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Desarrollar la transformación de grandes volúmenes de datos:</w:t>
            </w:r>
            <w:r w:rsidRPr="002570D0">
              <w:rPr>
                <w:rFonts w:asciiTheme="minorHAnsi" w:eastAsiaTheme="minorEastAsia" w:hAnsiTheme="minorHAnsi" w:cstheme="minorBidi"/>
                <w:color w:val="000000" w:themeColor="text1"/>
                <w:sz w:val="22"/>
                <w:szCs w:val="22"/>
                <w:lang w:val="es-MX"/>
              </w:rPr>
              <w:t xml:space="preserve"> procesamos y cruzamos miles de registros del ISP y de las farmacias.</w:t>
            </w:r>
          </w:p>
          <w:p w14:paraId="12D7C34E" w14:textId="77777777" w:rsidR="002570D0" w:rsidRPr="002570D0" w:rsidRDefault="002570D0" w:rsidP="002570D0">
            <w:pPr>
              <w:pStyle w:val="Piedepgina"/>
              <w:numPr>
                <w:ilvl w:val="0"/>
                <w:numId w:val="28"/>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Gestionar proyectos informáticos:</w:t>
            </w:r>
            <w:r w:rsidRPr="002570D0">
              <w:rPr>
                <w:rFonts w:asciiTheme="minorHAnsi" w:eastAsiaTheme="minorEastAsia" w:hAnsiTheme="minorHAnsi" w:cstheme="minorBidi"/>
                <w:color w:val="000000" w:themeColor="text1"/>
                <w:sz w:val="22"/>
                <w:szCs w:val="22"/>
                <w:lang w:val="es-MX"/>
              </w:rPr>
              <w:t xml:space="preserve"> planificamos cuatro sprints, controlamos su avance y ajustamos el alcance frente a imprevistos.</w:t>
            </w:r>
          </w:p>
          <w:p w14:paraId="7A6C4500"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3. Relación con los intereses profesionales</w:t>
            </w:r>
          </w:p>
          <w:p w14:paraId="269FFDA6"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Diego Fuentes:</w:t>
            </w:r>
            <w:r w:rsidRPr="002570D0">
              <w:rPr>
                <w:rFonts w:asciiTheme="minorHAnsi" w:eastAsiaTheme="minorEastAsia" w:hAnsiTheme="minorHAnsi" w:cstheme="minorBidi"/>
                <w:color w:val="000000" w:themeColor="text1"/>
                <w:sz w:val="22"/>
                <w:szCs w:val="22"/>
                <w:lang w:val="es-MX"/>
              </w:rPr>
              <w:t xml:space="preserve"> mi interés profesional está en la ingeniería y el análisis de datos: bases de datos, procesos de extracción y transformación, y calidad de la información, en línea con mi especialización en Ciencia de Datos. BioEqui refleja ese interés porque su núcleo es un proceso de datos completo. En el proyecto soy responsable de la ingesta del ISP, la base de datos, el cruce y la API.</w:t>
            </w:r>
          </w:p>
          <w:p w14:paraId="62D28B77"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Iván Fernández:</w:t>
            </w:r>
            <w:r w:rsidRPr="002570D0">
              <w:rPr>
                <w:rFonts w:asciiTheme="minorHAnsi" w:eastAsiaTheme="minorEastAsia" w:hAnsiTheme="minorHAnsi" w:cstheme="minorBidi"/>
                <w:color w:val="000000" w:themeColor="text1"/>
                <w:sz w:val="22"/>
                <w:szCs w:val="22"/>
                <w:lang w:val="es-MX"/>
              </w:rPr>
              <w:t xml:space="preserve"> mi interés profesional está en la extracción de datos desde la web y el desarrollo de aplicaciones. BioEqui refleja ese interés porque tuve que construir extractores para sitios con estructuras muy distintas y convertir esos datos en una aplicación útil para las personas. En el proyecto soy responsable de los extractores de farmacias y la aplicación web.</w:t>
            </w:r>
          </w:p>
          <w:p w14:paraId="423D3CFB"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4. Factibilidad del proyecto</w:t>
            </w:r>
          </w:p>
          <w:p w14:paraId="4259407A" w14:textId="77777777" w:rsidR="002570D0" w:rsidRPr="002570D0" w:rsidRDefault="002570D0" w:rsidP="002570D0">
            <w:pPr>
              <w:pStyle w:val="Piedepgina"/>
              <w:numPr>
                <w:ilvl w:val="0"/>
                <w:numId w:val="29"/>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Tiempo:</w:t>
            </w:r>
            <w:r w:rsidRPr="002570D0">
              <w:rPr>
                <w:rFonts w:asciiTheme="minorHAnsi" w:eastAsiaTheme="minorEastAsia" w:hAnsiTheme="minorHAnsi" w:cstheme="minorBidi"/>
                <w:color w:val="000000" w:themeColor="text1"/>
                <w:sz w:val="22"/>
                <w:szCs w:val="22"/>
                <w:lang w:val="es-MX"/>
              </w:rPr>
              <w:t xml:space="preserve"> el semestre tiene 18 semanas. Acotamos el alcance al ISP y a tres cadenas, y dividimos el desarrollo en cuatro sprints de tres semanas, con tareas en paralelo entre los dos integrantes.</w:t>
            </w:r>
          </w:p>
          <w:p w14:paraId="750B533F" w14:textId="77777777" w:rsidR="002570D0" w:rsidRPr="002570D0" w:rsidRDefault="002570D0" w:rsidP="002570D0">
            <w:pPr>
              <w:pStyle w:val="Piedepgina"/>
              <w:numPr>
                <w:ilvl w:val="0"/>
                <w:numId w:val="29"/>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Materiales:</w:t>
            </w:r>
            <w:r w:rsidRPr="002570D0">
              <w:rPr>
                <w:rFonts w:asciiTheme="minorHAnsi" w:eastAsiaTheme="minorEastAsia" w:hAnsiTheme="minorHAnsi" w:cstheme="minorBidi"/>
                <w:color w:val="000000" w:themeColor="text1"/>
                <w:sz w:val="22"/>
                <w:szCs w:val="22"/>
                <w:lang w:val="es-MX"/>
              </w:rPr>
              <w:t xml:space="preserve"> usamos solo software libre (Python, PostgreSQL, Docker, FastAPI, React, Git y GitHub) y fuentes de datos públicas, sin costos de licencias ni infraestructura.</w:t>
            </w:r>
          </w:p>
          <w:p w14:paraId="4E858A4D" w14:textId="77777777" w:rsidR="002570D0" w:rsidRPr="002570D0" w:rsidRDefault="002570D0" w:rsidP="002570D0">
            <w:pPr>
              <w:pStyle w:val="Piedepgina"/>
              <w:numPr>
                <w:ilvl w:val="0"/>
                <w:numId w:val="29"/>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Factores que facilitan:</w:t>
            </w:r>
            <w:r w:rsidRPr="002570D0">
              <w:rPr>
                <w:rFonts w:asciiTheme="minorHAnsi" w:eastAsiaTheme="minorEastAsia" w:hAnsiTheme="minorHAnsi" w:cstheme="minorBidi"/>
                <w:color w:val="000000" w:themeColor="text1"/>
                <w:sz w:val="22"/>
                <w:szCs w:val="22"/>
                <w:lang w:val="es-MX"/>
              </w:rPr>
              <w:t xml:space="preserve"> el ISP publica sus listados de forma abierta, algunas cadenas tienen catálogos accesibles de forma estructurada, y los precios son información pública sin datos personales.</w:t>
            </w:r>
          </w:p>
          <w:p w14:paraId="741793E5" w14:textId="77777777" w:rsidR="002570D0" w:rsidRPr="002570D0" w:rsidRDefault="002570D0" w:rsidP="002570D0">
            <w:pPr>
              <w:pStyle w:val="Piedepgina"/>
              <w:numPr>
                <w:ilvl w:val="0"/>
                <w:numId w:val="29"/>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Factores que dificultan y cómo los abordamos:</w:t>
            </w:r>
            <w:r w:rsidRPr="002570D0">
              <w:rPr>
                <w:rFonts w:asciiTheme="minorHAnsi" w:eastAsiaTheme="minorEastAsia" w:hAnsiTheme="minorHAnsi" w:cstheme="minorBidi"/>
                <w:color w:val="000000" w:themeColor="text1"/>
                <w:sz w:val="22"/>
                <w:szCs w:val="22"/>
                <w:lang w:val="es-MX"/>
              </w:rPr>
              <w:t xml:space="preserve"> si una farmacia cambia su sitio, solo se rompe su extractor, y guardamos el dato crudo para reprocesarlo sin volver a descargar. Respetamos el robots.txt de cada sitio; por esa regla descartamos Salcobrand. Cruz Verde exige una sesión activa, así que su extracción es manual y poco frecuente, y lo declaramos como limitación. Si una farmacia publica datos inconsistentes con el ISP, validamos los vínculos y apartamos los dudosos.</w:t>
            </w:r>
          </w:p>
          <w:p w14:paraId="4791B5EC"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5. Indicadores de calidad disciplinarios</w:t>
            </w:r>
          </w:p>
          <w:p w14:paraId="3BFCF0C8" w14:textId="77777777" w:rsidR="002570D0" w:rsidRPr="002570D0" w:rsidRDefault="002570D0" w:rsidP="002570D0">
            <w:pPr>
              <w:pStyle w:val="Piedepgina"/>
              <w:numPr>
                <w:ilvl w:val="0"/>
                <w:numId w:val="30"/>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Pruebas (1.1, 1.2, 1.3):</w:t>
            </w:r>
            <w:r w:rsidRPr="002570D0">
              <w:rPr>
                <w:rFonts w:asciiTheme="minorHAnsi" w:eastAsiaTheme="minorEastAsia" w:hAnsiTheme="minorHAnsi" w:cstheme="minorBidi"/>
                <w:color w:val="000000" w:themeColor="text1"/>
                <w:sz w:val="22"/>
                <w:szCs w:val="22"/>
                <w:lang w:val="es-MX"/>
              </w:rPr>
              <w:t xml:space="preserve"> diseñamos validaciones automáticas (formato del registro sanitario, similitud entre el nombre del producto y el nombre oficial, y número de principios activos), restricciones de integridad y pruebas funcionales de la API y la aplicación. Las aplicamos en cada sprint y registramos los resultados como métricas. Cada error detectado se corrige y se reprocesa desde la capa bronce.</w:t>
            </w:r>
          </w:p>
          <w:p w14:paraId="71ADFE85" w14:textId="77777777" w:rsidR="002570D0" w:rsidRPr="002570D0" w:rsidRDefault="002570D0" w:rsidP="002570D0">
            <w:pPr>
              <w:pStyle w:val="Piedepgina"/>
              <w:numPr>
                <w:ilvl w:val="0"/>
                <w:numId w:val="30"/>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Gestión (2.1, 2.2):</w:t>
            </w:r>
            <w:r w:rsidRPr="002570D0">
              <w:rPr>
                <w:rFonts w:asciiTheme="minorHAnsi" w:eastAsiaTheme="minorEastAsia" w:hAnsiTheme="minorHAnsi" w:cstheme="minorBidi"/>
                <w:color w:val="000000" w:themeColor="text1"/>
                <w:sz w:val="22"/>
                <w:szCs w:val="22"/>
                <w:lang w:val="es-MX"/>
              </w:rPr>
              <w:t xml:space="preserve"> planificamos con Scrum, backlog, plan de trabajo y carta Gantt. Controlamos el avance con revisiones al cierre de cada sprint, el historial de GitHub y un informe de avance en la semana 10.</w:t>
            </w:r>
          </w:p>
          <w:p w14:paraId="3B0A3AAA" w14:textId="77777777" w:rsidR="002570D0" w:rsidRPr="002570D0" w:rsidRDefault="002570D0" w:rsidP="002570D0">
            <w:pPr>
              <w:pStyle w:val="Piedepgina"/>
              <w:numPr>
                <w:ilvl w:val="0"/>
                <w:numId w:val="30"/>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lastRenderedPageBreak/>
              <w:t>Modelos de datos (3.1, 3.2):</w:t>
            </w:r>
            <w:r w:rsidRPr="002570D0">
              <w:rPr>
                <w:rFonts w:asciiTheme="minorHAnsi" w:eastAsiaTheme="minorEastAsia" w:hAnsiTheme="minorHAnsi" w:cstheme="minorBidi"/>
                <w:color w:val="000000" w:themeColor="text1"/>
                <w:sz w:val="22"/>
                <w:szCs w:val="22"/>
                <w:lang w:val="es-MX"/>
              </w:rPr>
              <w:t xml:space="preserve"> diseñamos un modelo de seis tablas, con la dosis en cuatro campos para expresar proporciones como 160 mg / 5 mL. Lo implementamos en PostgreSQL sobre Docker, con llaves foráneas y restricciones que impiden duplicar precios.</w:t>
            </w:r>
          </w:p>
          <w:p w14:paraId="12795976" w14:textId="77777777" w:rsidR="002570D0" w:rsidRPr="002570D0" w:rsidRDefault="002570D0" w:rsidP="002570D0">
            <w:pPr>
              <w:pStyle w:val="Piedepgina"/>
              <w:numPr>
                <w:ilvl w:val="0"/>
                <w:numId w:val="30"/>
              </w:numPr>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Solución de software (4.1, 4.2, 4.3):</w:t>
            </w:r>
            <w:r w:rsidRPr="002570D0">
              <w:rPr>
                <w:rFonts w:asciiTheme="minorHAnsi" w:eastAsiaTheme="minorEastAsia" w:hAnsiTheme="minorHAnsi" w:cstheme="minorBidi"/>
                <w:color w:val="000000" w:themeColor="text1"/>
                <w:sz w:val="22"/>
                <w:szCs w:val="22"/>
                <w:lang w:val="es-MX"/>
              </w:rPr>
              <w:t xml:space="preserve"> construimos módulos independientes (extractores, procesamiento por capas, API y aplicación web). Los integramos mediante un formato común en la capa plata, que funciona como contrato entre componentes. Implantamos la solución con Docker y un script único de actualización configurado por variables de entorno.</w:t>
            </w:r>
          </w:p>
          <w:p w14:paraId="5469C534"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Individual conclusions</w:t>
            </w:r>
          </w:p>
          <w:p w14:paraId="78BF44B6"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Diego Fuentes:</w:t>
            </w:r>
            <w:r w:rsidRPr="002570D0">
              <w:rPr>
                <w:rFonts w:asciiTheme="minorHAnsi" w:eastAsiaTheme="minorEastAsia" w:hAnsiTheme="minorHAnsi" w:cstheme="minorBidi"/>
                <w:color w:val="000000" w:themeColor="text1"/>
                <w:sz w:val="22"/>
                <w:szCs w:val="22"/>
                <w:lang w:val="es-MX"/>
              </w:rPr>
              <w:t xml:space="preserve"> Defining BioEqui showed me that the hardest part of a data project is not writing the code, but understanding what the data really means. Each source describes the same product in a different way, and two products can only be compared if they share the active ingredient, the dose, the dosage form and the package size. This led us to design a strict equivalence key and a data model where the dose belongs to the relationship between a medicine and its active ingredient. I also learned that feasibility depends on ethical and legal limits, not only on technical ones.</w:t>
            </w:r>
          </w:p>
          <w:p w14:paraId="5CBBFEBD"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Iván Fernández:</w:t>
            </w:r>
            <w:r w:rsidRPr="002570D0">
              <w:rPr>
                <w:rFonts w:asciiTheme="minorHAnsi" w:eastAsiaTheme="minorEastAsia" w:hAnsiTheme="minorHAnsi" w:cstheme="minorBidi"/>
                <w:color w:val="000000" w:themeColor="text1"/>
                <w:sz w:val="22"/>
                <w:szCs w:val="22"/>
                <w:lang w:val="es-MX"/>
              </w:rPr>
              <w:t xml:space="preserve"> Working on the data extraction showed me that every pharmacy website is built in a different way, so there is no single solution that works for all of them. I learned to read each site's robots.txt before writing any code, and to extract data by field name instead of by position, so that small changes on the website do not break the process. I believe the project is feasible and useful, because it turns scattered public information into something people can actually use.</w:t>
            </w:r>
          </w:p>
          <w:p w14:paraId="332885FB"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Reflection</w:t>
            </w:r>
          </w:p>
          <w:p w14:paraId="34A8C88C"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This first phase made us reflect on how we make technical decisions. At the beginning, we wanted to include as many pharmacies and features as possible. Evaluating the data sources showed us that a smaller scope, clearly defined and properly validated, is more valuable than a larger one with unreliable data. We also learned that being transparent about limitations, such as the manual session required by one of the pharmacies, is part of working professionally. Working as a team of two required a clear division of responsibilities by layers, with shared tasks for testing and documentation. For the next phase, we need to keep a steady rhythm of sprint reviews and document our decisions when we make them.</w:t>
            </w:r>
          </w:p>
          <w:p w14:paraId="4A227EF2"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b/>
                <w:bCs/>
                <w:color w:val="000000" w:themeColor="text1"/>
                <w:sz w:val="22"/>
                <w:szCs w:val="22"/>
                <w:lang w:val="es-MX"/>
              </w:rPr>
              <w:t>Referencias</w:t>
            </w:r>
          </w:p>
          <w:p w14:paraId="286CECD2"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 xml:space="preserve">Banco Interamericano de Desarrollo. (2023). </w:t>
            </w:r>
            <w:r w:rsidRPr="002570D0">
              <w:rPr>
                <w:rFonts w:asciiTheme="minorHAnsi" w:eastAsiaTheme="minorEastAsia" w:hAnsiTheme="minorHAnsi" w:cstheme="minorBidi"/>
                <w:i/>
                <w:iCs/>
                <w:color w:val="000000" w:themeColor="text1"/>
                <w:sz w:val="22"/>
                <w:szCs w:val="22"/>
                <w:lang w:val="es-MX"/>
              </w:rPr>
              <w:t>¿Cuánto podrían ahorrar y qué ganarían los hogares chilenos usando medicamentos genéricos en vez de sus equivalentes de marca?</w:t>
            </w:r>
            <w:r w:rsidRPr="002570D0">
              <w:rPr>
                <w:rFonts w:asciiTheme="minorHAnsi" w:eastAsiaTheme="minorEastAsia" w:hAnsiTheme="minorHAnsi" w:cstheme="minorBidi"/>
                <w:color w:val="000000" w:themeColor="text1"/>
                <w:sz w:val="22"/>
                <w:szCs w:val="22"/>
                <w:lang w:val="es-MX"/>
              </w:rPr>
              <w:t xml:space="preserve"> </w:t>
            </w:r>
            <w:hyperlink r:id="rId12" w:history="1">
              <w:r w:rsidRPr="002570D0">
                <w:rPr>
                  <w:rStyle w:val="Hipervnculo"/>
                  <w:rFonts w:asciiTheme="minorHAnsi" w:eastAsiaTheme="minorEastAsia" w:hAnsiTheme="minorHAnsi" w:cstheme="minorBidi"/>
                  <w:sz w:val="22"/>
                  <w:szCs w:val="22"/>
                  <w:lang w:val="es-MX"/>
                </w:rPr>
                <w:t>https://publications.iadb.org/es/cuanto-podrian-ahorrar-y-que-ganarian-los-hogares-chilenos-usando-medicamentos-genericos-en-vez-de</w:t>
              </w:r>
            </w:hyperlink>
          </w:p>
          <w:p w14:paraId="75C60522"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 xml:space="preserve">Cámara de la Innovación Farmacéutica de Chile. (2025, 6 de noviembre). </w:t>
            </w:r>
            <w:r w:rsidRPr="002570D0">
              <w:rPr>
                <w:rFonts w:asciiTheme="minorHAnsi" w:eastAsiaTheme="minorEastAsia" w:hAnsiTheme="minorHAnsi" w:cstheme="minorBidi"/>
                <w:i/>
                <w:iCs/>
                <w:color w:val="000000" w:themeColor="text1"/>
                <w:sz w:val="22"/>
                <w:szCs w:val="22"/>
                <w:lang w:val="es-MX"/>
              </w:rPr>
              <w:t>Estudio 2025 sobre gasto público en medicamentos: En Chile, los hogares asumen el 62% del gasto en medicamento.</w:t>
            </w:r>
            <w:r w:rsidRPr="002570D0">
              <w:rPr>
                <w:rFonts w:asciiTheme="minorHAnsi" w:eastAsiaTheme="minorEastAsia" w:hAnsiTheme="minorHAnsi" w:cstheme="minorBidi"/>
                <w:color w:val="000000" w:themeColor="text1"/>
                <w:sz w:val="22"/>
                <w:szCs w:val="22"/>
                <w:lang w:val="es-MX"/>
              </w:rPr>
              <w:t xml:space="preserve"> </w:t>
            </w:r>
            <w:hyperlink r:id="rId13" w:history="1">
              <w:r w:rsidRPr="002570D0">
                <w:rPr>
                  <w:rStyle w:val="Hipervnculo"/>
                  <w:rFonts w:asciiTheme="minorHAnsi" w:eastAsiaTheme="minorEastAsia" w:hAnsiTheme="minorHAnsi" w:cstheme="minorBidi"/>
                  <w:sz w:val="22"/>
                  <w:szCs w:val="22"/>
                  <w:lang w:val="es-MX"/>
                </w:rPr>
                <w:t>https://cifchile.cl/noticia/lanzamiento-segunda-edicion-del-estudio-caracterizacion-del-gasto-publico-en-medicamentos/</w:t>
              </w:r>
            </w:hyperlink>
          </w:p>
          <w:p w14:paraId="48BFE92E" w14:textId="77777777" w:rsidR="002570D0" w:rsidRPr="002570D0" w:rsidRDefault="002570D0" w:rsidP="002570D0">
            <w:pPr>
              <w:pStyle w:val="Piedepgina"/>
              <w:jc w:val="both"/>
              <w:rPr>
                <w:rFonts w:asciiTheme="minorHAnsi" w:eastAsiaTheme="minorEastAsia" w:hAnsiTheme="minorHAnsi" w:cstheme="minorBidi"/>
                <w:color w:val="000000" w:themeColor="text1"/>
                <w:sz w:val="22"/>
                <w:szCs w:val="22"/>
                <w:lang w:val="es-MX"/>
              </w:rPr>
            </w:pPr>
            <w:r w:rsidRPr="002570D0">
              <w:rPr>
                <w:rFonts w:asciiTheme="minorHAnsi" w:eastAsiaTheme="minorEastAsia" w:hAnsiTheme="minorHAnsi" w:cstheme="minorBidi"/>
                <w:color w:val="000000" w:themeColor="text1"/>
                <w:sz w:val="22"/>
                <w:szCs w:val="22"/>
                <w:lang w:val="es-MX"/>
              </w:rPr>
              <w:t xml:space="preserve">Duoc UC. (2023). </w:t>
            </w:r>
            <w:r w:rsidRPr="002570D0">
              <w:rPr>
                <w:rFonts w:asciiTheme="minorHAnsi" w:eastAsiaTheme="minorEastAsia" w:hAnsiTheme="minorHAnsi" w:cstheme="minorBidi"/>
                <w:i/>
                <w:iCs/>
                <w:color w:val="000000" w:themeColor="text1"/>
                <w:sz w:val="22"/>
                <w:szCs w:val="22"/>
                <w:lang w:val="es-MX"/>
              </w:rPr>
              <w:t>Guía estudiantil 2023: Ingeniería en Informática.</w:t>
            </w:r>
            <w:r w:rsidRPr="002570D0">
              <w:rPr>
                <w:rFonts w:asciiTheme="minorHAnsi" w:eastAsiaTheme="minorEastAsia" w:hAnsiTheme="minorHAnsi" w:cstheme="minorBidi"/>
                <w:color w:val="000000" w:themeColor="text1"/>
                <w:sz w:val="22"/>
                <w:szCs w:val="22"/>
                <w:lang w:val="es-MX"/>
              </w:rPr>
              <w:t xml:space="preserve"> Escuela de Informática y Telecomunicaciones. </w:t>
            </w:r>
            <w:hyperlink r:id="rId14" w:history="1">
              <w:r w:rsidRPr="002570D0">
                <w:rPr>
                  <w:rStyle w:val="Hipervnculo"/>
                  <w:rFonts w:asciiTheme="minorHAnsi" w:eastAsiaTheme="minorEastAsia" w:hAnsiTheme="minorHAnsi" w:cstheme="minorBidi"/>
                  <w:sz w:val="22"/>
                  <w:szCs w:val="22"/>
                  <w:lang w:val="es-MX"/>
                </w:rPr>
                <w:t>https://www.duoc.cl/wp-content/uploads/2023/04/Ingeneria-en-informatica.pdf</w:t>
              </w:r>
            </w:hyperlink>
          </w:p>
          <w:p w14:paraId="04765D8B" w14:textId="106E4F8F" w:rsidR="00C4442A" w:rsidRPr="003F499E" w:rsidRDefault="00C4442A" w:rsidP="002570D0">
            <w:pPr>
              <w:pStyle w:val="Piedepgina"/>
              <w:tabs>
                <w:tab w:val="clear" w:pos="4419"/>
                <w:tab w:val="clear" w:pos="8838"/>
              </w:tabs>
              <w:jc w:val="both"/>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lastRenderedPageBreak/>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pero no especifica cómo debe utilizar distintas competencias para </w:t>
            </w:r>
            <w:r w:rsidRPr="6033A9FF">
              <w:rPr>
                <w:rFonts w:asciiTheme="minorHAnsi" w:eastAsiaTheme="minorEastAsia" w:hAnsiTheme="minorHAnsi" w:cstheme="minorBidi"/>
                <w:color w:val="3B3838" w:themeColor="background2" w:themeShade="40"/>
              </w:rPr>
              <w:lastRenderedPageBreak/>
              <w:t>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w:t>
            </w:r>
            <w:r w:rsidRPr="6033A9FF">
              <w:rPr>
                <w:rFonts w:asciiTheme="minorHAnsi" w:eastAsiaTheme="minorEastAsia" w:hAnsiTheme="minorHAnsi" w:cstheme="minorBidi"/>
                <w:color w:val="3B3838" w:themeColor="background2" w:themeShade="40"/>
              </w:rPr>
              <w:lastRenderedPageBreak/>
              <w:t xml:space="preserve">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lastRenderedPageBreak/>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5"/>
      <w:footerReference w:type="default" r:id="rId16"/>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A6DAD" w14:textId="77777777" w:rsidR="00895FED" w:rsidRDefault="00895FED" w:rsidP="00B2162E">
      <w:r>
        <w:separator/>
      </w:r>
    </w:p>
  </w:endnote>
  <w:endnote w:type="continuationSeparator" w:id="0">
    <w:p w14:paraId="7ECFE02C" w14:textId="77777777" w:rsidR="00895FED" w:rsidRDefault="00895FE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43F15" w14:textId="77777777" w:rsidR="00895FED" w:rsidRDefault="00895FED" w:rsidP="00B2162E">
      <w:r>
        <w:separator/>
      </w:r>
    </w:p>
  </w:footnote>
  <w:footnote w:type="continuationSeparator" w:id="0">
    <w:p w14:paraId="119AA4FF" w14:textId="77777777" w:rsidR="00895FED" w:rsidRDefault="00895FE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6AF5FD7"/>
    <w:multiLevelType w:val="multilevel"/>
    <w:tmpl w:val="E9AC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9" w15:restartNumberingAfterBreak="0">
    <w:nsid w:val="5F405D70"/>
    <w:multiLevelType w:val="multilevel"/>
    <w:tmpl w:val="D0A6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BA859BD"/>
    <w:multiLevelType w:val="multilevel"/>
    <w:tmpl w:val="E75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7"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9"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3"/>
  </w:num>
  <w:num w:numId="3" w16cid:durableId="1036004097">
    <w:abstractNumId w:val="27"/>
  </w:num>
  <w:num w:numId="4" w16cid:durableId="1711605638">
    <w:abstractNumId w:val="22"/>
  </w:num>
  <w:num w:numId="5" w16cid:durableId="352192231">
    <w:abstractNumId w:val="5"/>
  </w:num>
  <w:num w:numId="6" w16cid:durableId="1287469770">
    <w:abstractNumId w:val="18"/>
  </w:num>
  <w:num w:numId="7" w16cid:durableId="220218053">
    <w:abstractNumId w:val="26"/>
  </w:num>
  <w:num w:numId="8" w16cid:durableId="1570924996">
    <w:abstractNumId w:val="28"/>
  </w:num>
  <w:num w:numId="9" w16cid:durableId="1272467812">
    <w:abstractNumId w:val="9"/>
  </w:num>
  <w:num w:numId="10" w16cid:durableId="375475170">
    <w:abstractNumId w:val="20"/>
  </w:num>
  <w:num w:numId="11" w16cid:durableId="1995599765">
    <w:abstractNumId w:val="6"/>
  </w:num>
  <w:num w:numId="12" w16cid:durableId="926765155">
    <w:abstractNumId w:val="15"/>
  </w:num>
  <w:num w:numId="13" w16cid:durableId="191842145">
    <w:abstractNumId w:val="11"/>
  </w:num>
  <w:num w:numId="14" w16cid:durableId="1819613862">
    <w:abstractNumId w:val="8"/>
  </w:num>
  <w:num w:numId="15" w16cid:durableId="1308123858">
    <w:abstractNumId w:val="14"/>
  </w:num>
  <w:num w:numId="16" w16cid:durableId="1499810666">
    <w:abstractNumId w:val="4"/>
  </w:num>
  <w:num w:numId="17" w16cid:durableId="361521682">
    <w:abstractNumId w:val="1"/>
  </w:num>
  <w:num w:numId="18" w16cid:durableId="1071536552">
    <w:abstractNumId w:val="0"/>
  </w:num>
  <w:num w:numId="19" w16cid:durableId="1258909468">
    <w:abstractNumId w:val="16"/>
  </w:num>
  <w:num w:numId="20" w16cid:durableId="666980591">
    <w:abstractNumId w:val="23"/>
  </w:num>
  <w:num w:numId="21" w16cid:durableId="59524845">
    <w:abstractNumId w:val="21"/>
  </w:num>
  <w:num w:numId="22" w16cid:durableId="1829516048">
    <w:abstractNumId w:val="12"/>
  </w:num>
  <w:num w:numId="23" w16cid:durableId="1267074715">
    <w:abstractNumId w:val="2"/>
  </w:num>
  <w:num w:numId="24" w16cid:durableId="671831631">
    <w:abstractNumId w:val="10"/>
  </w:num>
  <w:num w:numId="25" w16cid:durableId="1002008022">
    <w:abstractNumId w:val="25"/>
  </w:num>
  <w:num w:numId="26" w16cid:durableId="319619263">
    <w:abstractNumId w:val="17"/>
  </w:num>
  <w:num w:numId="27" w16cid:durableId="1758358487">
    <w:abstractNumId w:val="29"/>
  </w:num>
  <w:num w:numId="28" w16cid:durableId="865217384">
    <w:abstractNumId w:val="24"/>
  </w:num>
  <w:num w:numId="29" w16cid:durableId="2075350325">
    <w:abstractNumId w:val="19"/>
  </w:num>
  <w:num w:numId="30" w16cid:durableId="1544172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570D0"/>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07744"/>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5FE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257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ifchile.cl/noticia/lanzamiento-segunda-edicion-del-estudio-caracterizacion-del-gasto-publico-en-medicamento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publications.iadb.org/es/cuanto-podrian-ahorrar-y-que-ganarian-los-hogares-chilenos-usando-medicamentos-genericos-en-vez-d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duoc.cl/wp-content/uploads/2023/04/Ingeneria-en-informatic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2964</Words>
  <Characters>16304</Characters>
  <Application>Microsoft Office Word</Application>
  <DocSecurity>0</DocSecurity>
  <Lines>135</Lines>
  <Paragraphs>38</Paragraphs>
  <ScaleCrop>false</ScaleCrop>
  <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Fuentes</cp:lastModifiedBy>
  <cp:revision>73</cp:revision>
  <cp:lastPrinted>2021-11-25T12:30:00Z</cp:lastPrinted>
  <dcterms:created xsi:type="dcterms:W3CDTF">2022-08-25T15:56:00Z</dcterms:created>
  <dcterms:modified xsi:type="dcterms:W3CDTF">2026-09-25T23:33:00Z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