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pPr>
              <w:spacing w:before="160" w:after="100" w:line="264" w:lineRule="auto"/>
              <w:jc w:val="both"/>
            </w:pPr>
            <w:r>
              <w:rPr>
                <w:rFonts w:ascii="Calibri" w:hAnsi="Calibri" w:cs="Calibri"/>
                <w:color w:val="1A1A1A"/>
                <w:sz w:val="22"/>
                <w:szCs w:val="22"/>
                <w:lang w:val="es-CL"/>
              </w:rPr>
              <w:t xml:space="preserve">Avanzamos de forma dispareja: en lo técnico vamos adelantados respecto de la carta Gantt, pero algunas actividades de cierre y la documentación van atrasadas.</w:t>
            </w:r>
          </w:p>
          <w:p>
            <w:pPr>
              <w:spacing w:before="0" w:after="100" w:line="264" w:lineRule="auto"/>
              <w:jc w:val="both"/>
            </w:pPr>
            <w:r>
              <w:rPr>
                <w:rFonts w:ascii="Calibri" w:hAnsi="Calibri" w:cs="Calibri"/>
                <w:b/>
                <w:bCs/>
                <w:color w:val="1A1A1A"/>
                <w:sz w:val="22"/>
                <w:szCs w:val="22"/>
                <w:lang w:val="es-CL"/>
              </w:rPr>
              <w:t xml:space="preserve">Lo que va adelantado.</w:t>
            </w:r>
            <w:r>
              <w:rPr>
                <w:rFonts w:ascii="Calibri" w:hAnsi="Calibri" w:cs="Calibri"/>
                <w:color w:val="1A1A1A"/>
                <w:sz w:val="22"/>
                <w:szCs w:val="22"/>
                <w:lang w:val="es-CL"/>
              </w:rPr>
              <w:t xml:space="preserve"> La carta Gantt ubicaba los extractores de farmacias entre las semanas 8 y 10, y la API y la aplicación web entre las semanas 11 y 13. Hoy ya tenemos una versión funcional de punta a punta: el catálogo del ISP procesado (4.816 registros sanitarios), tres cadenas integradas (Dr. Simi, Cruz Verde y Ahumada), la capa oro con los grupos de productos comparables, la base de datos PostgreSQL con historial de precios, la API y una primera versión de la página. Lo logramos porque empezamos a desarrollar en paralelo a la definición del proyecto.</w:t>
            </w:r>
          </w:p>
          <w:p>
            <w:pPr>
              <w:spacing w:before="0" w:after="100" w:line="264" w:lineRule="auto"/>
              <w:jc w:val="both"/>
            </w:pPr>
            <w:r>
              <w:rPr>
                <w:rFonts w:ascii="Calibri" w:hAnsi="Calibri" w:cs="Calibri"/>
                <w:b/>
                <w:bCs/>
                <w:color w:val="1A1A1A"/>
                <w:sz w:val="22"/>
                <w:szCs w:val="22"/>
                <w:lang w:val="es-CL"/>
              </w:rPr>
              <w:t xml:space="preserve">Lo que va atrasado o pendiente.</w:t>
            </w:r>
            <w:r>
              <w:rPr>
                <w:rFonts w:ascii="Calibri" w:hAnsi="Calibri" w:cs="Calibri"/>
                <w:color w:val="1A1A1A"/>
                <w:sz w:val="22"/>
                <w:szCs w:val="22"/>
                <w:lang w:val="es-CL"/>
              </w:rPr>
              <w:t xml:space="preserve"> La documentación de la Fase 1 la completamos tarde. La actualización automática solo cubre Dr. Simi. Las cifras de calidad de datos todavía corresponden a dos farmacias y hay que recalcularlas con Ahumada. Las pruebas funcionales aún no están documentadas, y queda un error de presentación en los productos combinados.</w:t>
            </w:r>
          </w:p>
          <w:p>
            <w:pPr>
              <w:spacing w:before="0" w:after="100" w:line="264" w:lineRule="auto"/>
              <w:jc w:val="both"/>
            </w:pPr>
            <w:r>
              <w:rPr>
                <w:rFonts w:ascii="Calibri" w:hAnsi="Calibri" w:cs="Calibri"/>
                <w:b/>
                <w:bCs/>
                <w:color w:val="1A1A1A"/>
                <w:sz w:val="22"/>
                <w:szCs w:val="22"/>
                <w:lang w:val="es-CL"/>
              </w:rPr>
              <w:t xml:space="preserve">Factores que han facilitado:</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El ISP publica sus listados de bioequivalencia como datos abiertos.</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Dr. Simi funciona sobre la plataforma VTEX, que tiene una API pública de catálogo, así que los datos llegan ordenados.</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La arquitectura por capas: como todas las farmacias terminan en plata con las mismas columnas, agregar la segunda y la tercera no requirió cambiar el cruce.</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Guardar el dato crudo en bronce: cuando un error del cargador borró el historial de un día, lo recuperamos sin volver a descargar nada.</w:t>
            </w:r>
          </w:p>
          <w:p>
            <w:pPr>
              <w:spacing w:before="0" w:after="100" w:line="264" w:lineRule="auto"/>
              <w:jc w:val="both"/>
            </w:pPr>
            <w:r>
              <w:rPr>
                <w:rFonts w:ascii="Calibri" w:hAnsi="Calibri" w:cs="Calibri"/>
                <w:b/>
                <w:bCs/>
                <w:color w:val="1A1A1A"/>
                <w:sz w:val="22"/>
                <w:szCs w:val="22"/>
                <w:lang w:val="es-CL"/>
              </w:rPr>
              <w:t xml:space="preserve">Factores que han dificultado:</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Los archivos del ISP tienen extensión .xls, pero en realidad son páginas HTML en codificación latin-1.</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Las fichas de Dr. Simi no traen siempre los mismos campos: encontramos productos con 9 datos y otros con 22.</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Cruz Verde exige una sesión activa, por lo que su extracción no se puede automatizar.</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El robots.txt de Ahumada prohíbe la paginación normal, y la primera descarga completa tardó dos horas.</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Salcobrand no se pudo integrar, porque su robots.txt prohíbe la ruta donde publica los datos.</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Algunas farmacias publican registros sanitarios equivocados.</w:t>
            </w:r>
          </w:p>
          <w:p>
            <w:pPr>
              <w:pStyle w:val="Prrafodelista"/>
              <w:numPr>
                <w:ilvl w:val="0"/>
                <w:numId w:val="16"/>
              </w:numPr>
              <w:spacing w:before="0" w:after="120" w:line="264" w:lineRule="auto"/>
              <w:ind w:left="360" w:hanging="284"/>
              <w:contextualSpacing w:val="0"/>
              <w:jc w:val="both"/>
            </w:pPr>
            <w:r>
              <w:rPr>
                <w:rFonts w:ascii="Calibri" w:hAnsi="Calibri" w:cs="Calibri"/>
                <w:color w:val="1A1A1A"/>
                <w:sz w:val="22"/>
                <w:szCs w:val="22"/>
                <w:lang w:val="es-CL"/>
              </w:rPr>
              <w:t xml:space="preserve">Al trasladar el código de la rama develop a main, la carpeta quedó incompleta y hubo que rehacerla.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pPr>
              <w:spacing w:before="160" w:after="100" w:line="264" w:lineRule="auto"/>
              <w:jc w:val="both"/>
            </w:pPr>
            <w:r>
              <w:rPr>
                <w:rFonts w:ascii="Calibri" w:hAnsi="Calibri" w:cs="Calibri"/>
                <w:color w:val="1A1A1A"/>
                <w:sz w:val="22"/>
                <w:szCs w:val="22"/>
                <w:lang w:val="es-CL"/>
              </w:rPr>
              <w:t xml:space="preserve">Hemos aplicado una regla: cada problema que encontramos en los datos se convierte en una validación o en un cambio de diseño documentado.</w:t>
            </w:r>
          </w:p>
          <w:p>
            <w:pPr>
              <w:pStyle w:val="Prrafodelista"/>
              <w:numPr>
                <w:ilvl w:val="0"/>
                <w:numId w:val="16"/>
              </w:numPr>
              <w:spacing w:before="0" w:after="40" w:line="264" w:lineRule="auto"/>
              <w:ind w:left="360" w:hanging="284"/>
              <w:contextualSpacing w:val="0"/>
              <w:jc w:val="both"/>
            </w:pPr>
            <w:r>
              <w:rPr>
                <w:rFonts w:ascii="Calibri" w:hAnsi="Calibri" w:cs="Calibri"/>
                <w:b/>
                <w:bCs/>
                <w:color w:val="1A1A1A"/>
                <w:sz w:val="22"/>
                <w:szCs w:val="22"/>
                <w:lang w:val="es-CL"/>
              </w:rPr>
              <w:t xml:space="preserve">Sitios que cambian o fallan:</w:t>
            </w:r>
            <w:r>
              <w:rPr>
                <w:rFonts w:ascii="Calibri" w:hAnsi="Calibri" w:cs="Calibri"/>
                <w:color w:val="1A1A1A"/>
                <w:sz w:val="22"/>
                <w:szCs w:val="22"/>
                <w:lang w:val="es-CL"/>
              </w:rPr>
              <w:t xml:space="preserve"> un extractor independiente por farmacia, búsqueda de cada dato por su nombre y no por su posición, y reintentos automáticos cuando el servidor falla.</w:t>
            </w:r>
          </w:p>
          <w:p>
            <w:pPr>
              <w:pStyle w:val="Prrafodelista"/>
              <w:numPr>
                <w:ilvl w:val="0"/>
                <w:numId w:val="16"/>
              </w:numPr>
              <w:spacing w:before="0" w:after="40" w:line="264" w:lineRule="auto"/>
              <w:ind w:left="360" w:hanging="284"/>
              <w:contextualSpacing w:val="0"/>
              <w:jc w:val="both"/>
            </w:pPr>
            <w:r>
              <w:rPr>
                <w:rFonts w:ascii="Calibri" w:hAnsi="Calibri" w:cs="Calibri"/>
                <w:b/>
                <w:bCs/>
                <w:color w:val="1A1A1A"/>
                <w:sz w:val="22"/>
                <w:szCs w:val="22"/>
                <w:lang w:val="es-CL"/>
              </w:rPr>
              <w:t xml:space="preserve">Restricciones de acceso:</w:t>
            </w:r>
            <w:r>
              <w:rPr>
                <w:rFonts w:ascii="Calibri" w:hAnsi="Calibri" w:cs="Calibri"/>
                <w:color w:val="1A1A1A"/>
                <w:sz w:val="22"/>
                <w:szCs w:val="22"/>
                <w:lang w:val="es-CL"/>
              </w:rPr>
              <w:t xml:space="preserve"> respetamos el robots.txt aunque eso implique cambiar el método (Ahumada) o descartar una fuente (Salcobrand). La extracción de Cruz Verde la hacemos de forma manual y poco frecuente, y la declaramos como una limitación.</w:t>
            </w:r>
          </w:p>
          <w:p>
            <w:pPr>
              <w:pStyle w:val="Prrafodelista"/>
              <w:numPr>
                <w:ilvl w:val="0"/>
                <w:numId w:val="16"/>
              </w:numPr>
              <w:spacing w:before="0" w:after="40" w:line="264" w:lineRule="auto"/>
              <w:ind w:left="360" w:hanging="284"/>
              <w:contextualSpacing w:val="0"/>
              <w:jc w:val="both"/>
            </w:pPr>
            <w:r>
              <w:rPr>
                <w:rFonts w:ascii="Calibri" w:hAnsi="Calibri" w:cs="Calibri"/>
                <w:b/>
                <w:bCs/>
                <w:color w:val="1A1A1A"/>
                <w:sz w:val="22"/>
                <w:szCs w:val="22"/>
                <w:lang w:val="es-CL"/>
              </w:rPr>
              <w:t xml:space="preserve">Datos inconsistentes:</w:t>
            </w:r>
            <w:r>
              <w:rPr>
                <w:rFonts w:ascii="Calibri" w:hAnsi="Calibri" w:cs="Calibri"/>
                <w:color w:val="1A1A1A"/>
                <w:sz w:val="22"/>
                <w:szCs w:val="22"/>
                <w:lang w:val="es-CL"/>
              </w:rPr>
              <w:t xml:space="preserve"> agregamos tres validaciones en la capa oro: formato del registro sanitario, similitud entre el nombre del producto y el nombre oficial del ISP, y número de principios activos. Cada una nació de un error real, como un clopidogrel publicado con el registro de una clorfenamina.</w:t>
            </w:r>
          </w:p>
          <w:p>
            <w:pPr>
              <w:pStyle w:val="Prrafodelista"/>
              <w:numPr>
                <w:ilvl w:val="0"/>
                <w:numId w:val="16"/>
              </w:numPr>
              <w:spacing w:before="0" w:after="40" w:line="264" w:lineRule="auto"/>
              <w:ind w:left="360" w:hanging="284"/>
              <w:contextualSpacing w:val="0"/>
              <w:jc w:val="both"/>
            </w:pPr>
            <w:r>
              <w:rPr>
                <w:rFonts w:ascii="Calibri" w:hAnsi="Calibri" w:cs="Calibri"/>
                <w:b/>
                <w:bCs/>
                <w:color w:val="1A1A1A"/>
                <w:sz w:val="22"/>
                <w:szCs w:val="22"/>
                <w:lang w:val="es-CL"/>
              </w:rPr>
              <w:t xml:space="preserve">Errores de procesamiento:</w:t>
            </w:r>
            <w:r>
              <w:rPr>
                <w:rFonts w:ascii="Calibri" w:hAnsi="Calibri" w:cs="Calibri"/>
                <w:color w:val="1A1A1A"/>
                <w:sz w:val="22"/>
                <w:szCs w:val="22"/>
                <w:lang w:val="es-CL"/>
              </w:rPr>
              <w:t xml:space="preserve"> corregimos el código y reprocesamos desde bronce, sin volver a consultar los sitios.</w:t>
            </w:r>
          </w:p>
          <w:p>
            <w:pPr>
              <w:spacing w:before="0" w:after="100" w:line="264" w:lineRule="auto"/>
              <w:jc w:val="both"/>
            </w:pPr>
            <w:r>
              <w:rPr>
                <w:rFonts w:ascii="Calibri" w:hAnsi="Calibri" w:cs="Calibri"/>
                <w:b/>
                <w:bCs/>
                <w:color w:val="1A1A1A"/>
                <w:sz w:val="22"/>
                <w:szCs w:val="22"/>
                <w:lang w:val="es-CL"/>
              </w:rPr>
              <w:t xml:space="preserve">Para lo que queda pendiente planeamos:</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Corregir la etiqueta de dosis de los productos combinados.</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Extender la actualización automática a Ahumada.</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Ejecutar el proceso completo con las tres farmacias y recalcular las cifras de calidad de datos.</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Escribir y ejecutar casos de prueba para la API y la página, y registrar sus resultados.</w:t>
            </w:r>
          </w:p>
          <w:p>
            <w:pPr>
              <w:pStyle w:val="Prrafodelista"/>
              <w:numPr>
                <w:ilvl w:val="0"/>
                <w:numId w:val="16"/>
              </w:numPr>
              <w:spacing w:before="0" w:after="120" w:line="264" w:lineRule="auto"/>
              <w:ind w:left="360" w:hanging="284"/>
              <w:contextualSpacing w:val="0"/>
              <w:jc w:val="both"/>
            </w:pPr>
            <w:r>
              <w:rPr>
                <w:rFonts w:ascii="Calibri" w:hAnsi="Calibri" w:cs="Calibri"/>
                <w:color w:val="1A1A1A"/>
                <w:sz w:val="22"/>
                <w:szCs w:val="22"/>
                <w:lang w:val="es-CL"/>
              </w:rPr>
              <w:t xml:space="preserve">Definir un procedimiento fijo para traspasar el código de develop a main, a cargo de una sola persona y verificando que no falten archivos.</w:t>
            </w: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pPr>
              <w:spacing w:before="160" w:after="100" w:line="264" w:lineRule="auto"/>
              <w:jc w:val="both"/>
            </w:pPr>
            <w:r>
              <w:rPr>
                <w:rFonts w:ascii="Calibri" w:hAnsi="Calibri" w:cs="Calibri"/>
                <w:color w:val="1A1A1A"/>
                <w:sz w:val="22"/>
                <w:szCs w:val="22"/>
                <w:lang w:val="es-CL"/>
              </w:rPr>
              <w:t xml:space="preserve">Evaluamos nuestro trabajo como bueno en lo técnico y mejorable en organización y documentación.</w:t>
            </w:r>
          </w:p>
          <w:p>
            <w:pPr>
              <w:spacing w:before="0" w:after="100" w:line="264" w:lineRule="auto"/>
              <w:jc w:val="both"/>
            </w:pPr>
            <w:r>
              <w:rPr>
                <w:rFonts w:ascii="Calibri" w:hAnsi="Calibri" w:cs="Calibri"/>
                <w:b/>
                <w:bCs/>
                <w:color w:val="1A1A1A"/>
                <w:sz w:val="22"/>
                <w:szCs w:val="22"/>
                <w:lang w:val="es-CL"/>
              </w:rPr>
              <w:t xml:space="preserve">Lo que destacamos.</w:t>
            </w:r>
            <w:r>
              <w:rPr>
                <w:rFonts w:ascii="Calibri" w:hAnsi="Calibri" w:cs="Calibri"/>
                <w:color w:val="1A1A1A"/>
                <w:sz w:val="22"/>
                <w:szCs w:val="22"/>
                <w:lang w:val="es-CL"/>
              </w:rPr>
              <w:t xml:space="preserve"> Tenemos una solución funcional que ya cumple el objetivo general del proyecto. Cada decisión técnica está respaldada por un problema real que encontramos en los datos, y no por suposiciones. Además, somos transparentes con las limitaciones (la sesión manual de Cruz Verde, los productos que no se pueden agrupar, los pocos días de historial) en lugar de ocultarlas. Como resultado, el sistema ya entrega un hallazgo concreto: en casi todos los casos donde la farmacia y el ISP no coinciden, la farmacia indica que el producto no es bioequivalente cuando el ISP sí lo certifica.</w:t>
            </w:r>
          </w:p>
          <w:p>
            <w:pPr>
              <w:spacing w:before="0" w:after="100" w:line="264" w:lineRule="auto"/>
              <w:jc w:val="both"/>
            </w:pPr>
            <w:r>
              <w:rPr>
                <w:rFonts w:ascii="Calibri" w:hAnsi="Calibri" w:cs="Calibri"/>
                <w:b/>
                <w:bCs/>
                <w:color w:val="1A1A1A"/>
                <w:sz w:val="22"/>
                <w:szCs w:val="22"/>
                <w:lang w:val="es-CL"/>
              </w:rPr>
              <w:t xml:space="preserve">Lo que podemos mejorar:</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Documentar las decisiones cuando las tomamos, no al final.</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Llevar las entregas formales al mismo ritmo que el código.</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Formalizar las pruebas con casos escritos y resultados registrados.</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Mantener un backlog visible para ambos, por ejemplo en GitHub Issues.</w:t>
            </w:r>
          </w:p>
          <w:p>
            <w:pPr>
              <w:pStyle w:val="Prrafodelista"/>
              <w:numPr>
                <w:ilvl w:val="0"/>
                <w:numId w:val="16"/>
              </w:numPr>
              <w:spacing w:before="0" w:after="120" w:line="264" w:lineRule="auto"/>
              <w:ind w:left="360" w:hanging="284"/>
              <w:contextualSpacing w:val="0"/>
              <w:jc w:val="both"/>
            </w:pPr>
            <w:r>
              <w:rPr>
                <w:rFonts w:ascii="Calibri" w:hAnsi="Calibri" w:cs="Calibri"/>
                <w:color w:val="1A1A1A"/>
                <w:sz w:val="22"/>
                <w:szCs w:val="22"/>
                <w:lang w:val="es-CL"/>
              </w:rPr>
              <w:t xml:space="preserve">Mejorar el diseño de la página, que hoy es funcional pero simple.</w:t>
            </w: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pPr>
              <w:spacing w:before="160" w:after="100" w:line="264" w:lineRule="auto"/>
              <w:jc w:val="both"/>
            </w:pPr>
            <w:r>
              <w:rPr>
                <w:rFonts w:ascii="Calibri" w:hAnsi="Calibri" w:cs="Calibri"/>
                <w:b/>
                <w:bCs/>
                <w:color w:val="1A1A1A"/>
                <w:sz w:val="22"/>
                <w:szCs w:val="22"/>
                <w:lang w:val="es-CL"/>
              </w:rPr>
              <w:t xml:space="preserve">Inquietudes sobre cómo proceder:</w:t>
            </w:r>
          </w:p>
          <w:p>
            <w:pPr>
              <w:pStyle w:val="Prrafodelista"/>
              <w:numPr>
                <w:ilvl w:val="0"/>
                <w:numId w:val="16"/>
              </w:numPr>
              <w:spacing w:before="0" w:after="40" w:line="264" w:lineRule="auto"/>
              <w:ind w:left="360" w:hanging="284"/>
              <w:contextualSpacing w:val="0"/>
              <w:jc w:val="both"/>
            </w:pPr>
            <w:r>
              <w:rPr>
                <w:rFonts w:ascii="Calibri" w:hAnsi="Calibri" w:cs="Calibri"/>
                <w:b/>
                <w:bCs/>
                <w:color w:val="1A1A1A"/>
                <w:sz w:val="22"/>
                <w:szCs w:val="22"/>
                <w:lang w:val="es-CL"/>
              </w:rPr>
              <w:t xml:space="preserve">Cruz Verde:</w:t>
            </w:r>
            <w:r>
              <w:rPr>
                <w:rFonts w:ascii="Calibri" w:hAnsi="Calibri" w:cs="Calibri"/>
                <w:color w:val="1A1A1A"/>
                <w:sz w:val="22"/>
                <w:szCs w:val="22"/>
                <w:lang w:val="es-CL"/>
              </w:rPr>
              <w:t xml:space="preserve"> si la extracción manual con una sesión propia es aceptable para la evaluación final, o si conviene presentar la comparación automatizada solo con Dr. Simi y Ahumada y dejar Cruz Verde como fuente complementaria.</w:t>
            </w:r>
          </w:p>
          <w:p>
            <w:pPr>
              <w:pStyle w:val="Prrafodelista"/>
              <w:numPr>
                <w:ilvl w:val="0"/>
                <w:numId w:val="16"/>
              </w:numPr>
              <w:spacing w:before="0" w:after="40" w:line="264" w:lineRule="auto"/>
              <w:ind w:left="360" w:hanging="284"/>
              <w:contextualSpacing w:val="0"/>
              <w:jc w:val="both"/>
            </w:pPr>
            <w:r>
              <w:rPr>
                <w:rFonts w:ascii="Calibri" w:hAnsi="Calibri" w:cs="Calibri"/>
                <w:b/>
                <w:bCs/>
                <w:color w:val="1A1A1A"/>
                <w:sz w:val="22"/>
                <w:szCs w:val="22"/>
                <w:lang w:val="es-CL"/>
              </w:rPr>
              <w:t xml:space="preserve">Historial de precios:</w:t>
            </w:r>
            <w:r>
              <w:rPr>
                <w:rFonts w:ascii="Calibri" w:hAnsi="Calibri" w:cs="Calibri"/>
                <w:color w:val="1A1A1A"/>
                <w:sz w:val="22"/>
                <w:szCs w:val="22"/>
                <w:lang w:val="es-CL"/>
              </w:rPr>
              <w:t xml:space="preserve"> cuántos días de historial serían suficientes para que el análisis de precios y promociones se considere válido.</w:t>
            </w:r>
          </w:p>
          <w:p>
            <w:pPr>
              <w:pStyle w:val="Prrafodelista"/>
              <w:numPr>
                <w:ilvl w:val="0"/>
                <w:numId w:val="16"/>
              </w:numPr>
              <w:spacing w:before="0" w:after="40" w:line="264" w:lineRule="auto"/>
              <w:ind w:left="360" w:hanging="284"/>
              <w:contextualSpacing w:val="0"/>
              <w:jc w:val="both"/>
            </w:pPr>
            <w:r>
              <w:rPr>
                <w:rFonts w:ascii="Calibri" w:hAnsi="Calibri" w:cs="Calibri"/>
                <w:b/>
                <w:bCs/>
                <w:color w:val="1A1A1A"/>
                <w:sz w:val="22"/>
                <w:szCs w:val="22"/>
                <w:lang w:val="es-CL"/>
              </w:rPr>
              <w:t xml:space="preserve">Despliegue:</w:t>
            </w:r>
            <w:r>
              <w:rPr>
                <w:rFonts w:ascii="Calibri" w:hAnsi="Calibri" w:cs="Calibri"/>
                <w:color w:val="1A1A1A"/>
                <w:sz w:val="22"/>
                <w:szCs w:val="22"/>
                <w:lang w:val="es-CL"/>
              </w:rPr>
              <w:t xml:space="preserve"> si para la defensa basta con la demostración local con Docker o se espera la plataforma publicada en la nube.</w:t>
            </w:r>
          </w:p>
          <w:p>
            <w:pPr>
              <w:pStyle w:val="Prrafodelista"/>
              <w:numPr>
                <w:ilvl w:val="0"/>
                <w:numId w:val="16"/>
              </w:numPr>
              <w:spacing w:before="0" w:after="40" w:line="264" w:lineRule="auto"/>
              <w:ind w:left="360" w:hanging="284"/>
              <w:contextualSpacing w:val="0"/>
              <w:jc w:val="both"/>
            </w:pPr>
            <w:r>
              <w:rPr>
                <w:rFonts w:ascii="Calibri" w:hAnsi="Calibri" w:cs="Calibri"/>
                <w:b/>
                <w:bCs/>
                <w:color w:val="1A1A1A"/>
                <w:sz w:val="22"/>
                <w:szCs w:val="22"/>
                <w:lang w:val="es-CL"/>
              </w:rPr>
              <w:t xml:space="preserve">Cambio de enfoque:</w:t>
            </w:r>
            <w:r>
              <w:rPr>
                <w:rFonts w:ascii="Calibri" w:hAnsi="Calibri" w:cs="Calibri"/>
                <w:color w:val="1A1A1A"/>
                <w:sz w:val="22"/>
                <w:szCs w:val="22"/>
                <w:lang w:val="es-CL"/>
              </w:rPr>
              <w:t xml:space="preserve"> la propuesta decía ETL y el desarrollo terminó siendo ELT. Queremos saber si debemos actualizar los documentos de la Fase 1 o basta con justificarlo en el informe final.</w:t>
            </w:r>
          </w:p>
          <w:p>
            <w:pPr>
              <w:spacing w:before="0" w:after="100" w:line="264" w:lineRule="auto"/>
              <w:jc w:val="both"/>
            </w:pPr>
            <w:r>
              <w:rPr>
                <w:rFonts w:ascii="Calibri" w:hAnsi="Calibri" w:cs="Calibri"/>
                <w:b/>
                <w:bCs/>
                <w:color w:val="1A1A1A"/>
                <w:sz w:val="22"/>
                <w:szCs w:val="22"/>
                <w:lang w:val="es-CL"/>
              </w:rPr>
              <w:t xml:space="preserve">Pregunta para el docente:</w:t>
            </w:r>
            <w:r>
              <w:rPr>
                <w:rFonts w:ascii="Calibri" w:hAnsi="Calibri" w:cs="Calibri"/>
                <w:color w:val="1A1A1A"/>
                <w:sz w:val="22"/>
                <w:szCs w:val="22"/>
                <w:lang w:val="es-CL"/>
              </w:rPr>
              <w:t xml:space="preserve"> ¿qué nivel de pruebas espera en el informe final: casos funcionales documentados, pruebas automatizadas o ambos?</w:t>
            </w:r>
          </w:p>
          <w:p>
            <w:pPr>
              <w:spacing w:before="0" w:after="120" w:line="264" w:lineRule="auto"/>
              <w:jc w:val="both"/>
            </w:pPr>
            <w:r>
              <w:rPr>
                <w:rFonts w:ascii="Calibri" w:hAnsi="Calibri" w:cs="Calibri"/>
                <w:b/>
                <w:bCs/>
                <w:color w:val="1A1A1A"/>
                <w:sz w:val="22"/>
                <w:szCs w:val="22"/>
                <w:lang w:val="es-CL"/>
              </w:rPr>
              <w:t xml:space="preserve">Pregunta para nuestros pares:</w:t>
            </w:r>
            <w:r>
              <w:rPr>
                <w:rFonts w:ascii="Calibri" w:hAnsi="Calibri" w:cs="Calibri"/>
                <w:color w:val="1A1A1A"/>
                <w:sz w:val="22"/>
                <w:szCs w:val="22"/>
                <w:lang w:val="es-CL"/>
              </w:rPr>
              <w:t xml:space="preserve"> ¿cómo han manejado en sus proyectos las fuentes de datos externas que cambian o restringen el acceso?</w:t>
            </w: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pPr>
              <w:spacing w:before="160" w:after="100" w:line="264" w:lineRule="auto"/>
              <w:jc w:val="both"/>
            </w:pPr>
            <w:r>
              <w:rPr>
                <w:rFonts w:ascii="Calibri" w:hAnsi="Calibri" w:cs="Calibri"/>
                <w:color w:val="1A1A1A"/>
                <w:sz w:val="22"/>
                <w:szCs w:val="22"/>
                <w:lang w:val="es-CL"/>
              </w:rPr>
              <w:t xml:space="preserve">No consideramos necesario redistribuir lo que ya está asignado, porque la división por capas ha funcionado: Diego se encarga del catálogo del ISP, la base de datos, el cruce (capa oro) y la API, e Iván de los extractores de farmacias y la aplicación web. Sí hay nuevas actividades que asignar:</w:t>
            </w:r>
          </w:p>
          <w:p>
            <w:pPr>
              <w:pStyle w:val="Prrafodelista"/>
              <w:numPr>
                <w:ilvl w:val="0"/>
                <w:numId w:val="16"/>
              </w:numPr>
              <w:spacing w:before="0" w:after="40" w:line="264" w:lineRule="auto"/>
              <w:ind w:left="360" w:hanging="284"/>
              <w:contextualSpacing w:val="0"/>
              <w:jc w:val="both"/>
            </w:pPr>
            <w:r>
              <w:rPr>
                <w:rFonts w:ascii="Calibri" w:hAnsi="Calibri" w:cs="Calibri"/>
                <w:b/>
                <w:bCs/>
                <w:color w:val="1A1A1A"/>
                <w:sz w:val="22"/>
                <w:szCs w:val="22"/>
                <w:lang w:val="es-CL"/>
              </w:rPr>
              <w:t xml:space="preserve">Corregir la etiqueta de dosis de los productos combinados:</w:t>
            </w:r>
            <w:r>
              <w:rPr>
                <w:rFonts w:ascii="Calibri" w:hAnsi="Calibri" w:cs="Calibri"/>
                <w:color w:val="1A1A1A"/>
                <w:sz w:val="22"/>
                <w:szCs w:val="22"/>
                <w:lang w:val="es-CL"/>
              </w:rPr>
              <w:t xml:space="preserve"> Diego, en la API, con apoyo de Iván en la página.</w:t>
            </w:r>
          </w:p>
          <w:p>
            <w:pPr>
              <w:pStyle w:val="Prrafodelista"/>
              <w:numPr>
                <w:ilvl w:val="0"/>
                <w:numId w:val="16"/>
              </w:numPr>
              <w:spacing w:before="0" w:after="40" w:line="264" w:lineRule="auto"/>
              <w:ind w:left="360" w:hanging="284"/>
              <w:contextualSpacing w:val="0"/>
              <w:jc w:val="both"/>
            </w:pPr>
            <w:r>
              <w:rPr>
                <w:rFonts w:ascii="Calibri" w:hAnsi="Calibri" w:cs="Calibri"/>
                <w:b/>
                <w:bCs/>
                <w:color w:val="1A1A1A"/>
                <w:sz w:val="22"/>
                <w:szCs w:val="22"/>
                <w:lang w:val="es-CL"/>
              </w:rPr>
              <w:t xml:space="preserve">Extender la actualización automática a Ahumada:</w:t>
            </w:r>
            <w:r>
              <w:rPr>
                <w:rFonts w:ascii="Calibri" w:hAnsi="Calibri" w:cs="Calibri"/>
                <w:color w:val="1A1A1A"/>
                <w:sz w:val="22"/>
                <w:szCs w:val="22"/>
                <w:lang w:val="es-CL"/>
              </w:rPr>
              <w:t xml:space="preserve"> Iván.</w:t>
            </w:r>
          </w:p>
          <w:p>
            <w:pPr>
              <w:pStyle w:val="Prrafodelista"/>
              <w:numPr>
                <w:ilvl w:val="0"/>
                <w:numId w:val="16"/>
              </w:numPr>
              <w:spacing w:before="0" w:after="40" w:line="264" w:lineRule="auto"/>
              <w:ind w:left="360" w:hanging="284"/>
              <w:contextualSpacing w:val="0"/>
              <w:jc w:val="both"/>
            </w:pPr>
            <w:r>
              <w:rPr>
                <w:rFonts w:ascii="Calibri" w:hAnsi="Calibri" w:cs="Calibri"/>
                <w:b/>
                <w:bCs/>
                <w:color w:val="1A1A1A"/>
                <w:sz w:val="22"/>
                <w:szCs w:val="22"/>
                <w:lang w:val="es-CL"/>
              </w:rPr>
              <w:t xml:space="preserve">Ejecutar el proceso completo y recalcular las métricas de calidad de datos:</w:t>
            </w:r>
            <w:r>
              <w:rPr>
                <w:rFonts w:ascii="Calibri" w:hAnsi="Calibri" w:cs="Calibri"/>
                <w:color w:val="1A1A1A"/>
                <w:sz w:val="22"/>
                <w:szCs w:val="22"/>
                <w:lang w:val="es-CL"/>
              </w:rPr>
              <w:t xml:space="preserve"> Diego.</w:t>
            </w:r>
          </w:p>
          <w:p>
            <w:pPr>
              <w:pStyle w:val="Prrafodelista"/>
              <w:numPr>
                <w:ilvl w:val="0"/>
                <w:numId w:val="16"/>
              </w:numPr>
              <w:spacing w:before="0" w:after="40" w:line="264" w:lineRule="auto"/>
              <w:ind w:left="360" w:hanging="284"/>
              <w:contextualSpacing w:val="0"/>
              <w:jc w:val="both"/>
            </w:pPr>
            <w:r>
              <w:rPr>
                <w:rFonts w:ascii="Calibri" w:hAnsi="Calibri" w:cs="Calibri"/>
                <w:b/>
                <w:bCs/>
                <w:color w:val="1A1A1A"/>
                <w:sz w:val="22"/>
                <w:szCs w:val="22"/>
                <w:lang w:val="es-CL"/>
              </w:rPr>
              <w:t xml:space="preserve">Casos de prueba:</w:t>
            </w:r>
            <w:r>
              <w:rPr>
                <w:rFonts w:ascii="Calibri" w:hAnsi="Calibri" w:cs="Calibri"/>
                <w:color w:val="1A1A1A"/>
                <w:sz w:val="22"/>
                <w:szCs w:val="22"/>
                <w:lang w:val="es-CL"/>
              </w:rPr>
              <w:t xml:space="preserve"> Diego para la API y la base de datos; Iván para la página y los extractores.</w:t>
            </w:r>
          </w:p>
          <w:p>
            <w:pPr>
              <w:pStyle w:val="Prrafodelista"/>
              <w:numPr>
                <w:ilvl w:val="0"/>
                <w:numId w:val="16"/>
              </w:numPr>
              <w:spacing w:before="0" w:after="40" w:line="264" w:lineRule="auto"/>
              <w:ind w:left="360" w:hanging="284"/>
              <w:contextualSpacing w:val="0"/>
              <w:jc w:val="both"/>
            </w:pPr>
            <w:r>
              <w:rPr>
                <w:rFonts w:ascii="Calibri" w:hAnsi="Calibri" w:cs="Calibri"/>
                <w:b/>
                <w:bCs/>
                <w:color w:val="1A1A1A"/>
                <w:sz w:val="22"/>
                <w:szCs w:val="22"/>
                <w:lang w:val="es-CL"/>
              </w:rPr>
              <w:t xml:space="preserve">Mejorar el diseño de la página:</w:t>
            </w:r>
            <w:r>
              <w:rPr>
                <w:rFonts w:ascii="Calibri" w:hAnsi="Calibri" w:cs="Calibri"/>
                <w:color w:val="1A1A1A"/>
                <w:sz w:val="22"/>
                <w:szCs w:val="22"/>
                <w:lang w:val="es-CL"/>
              </w:rPr>
              <w:t xml:space="preserve"> Iván.</w:t>
            </w:r>
          </w:p>
          <w:p>
            <w:pPr>
              <w:pStyle w:val="Prrafodelista"/>
              <w:numPr>
                <w:ilvl w:val="0"/>
                <w:numId w:val="16"/>
              </w:numPr>
              <w:spacing w:before="0" w:after="40" w:line="264" w:lineRule="auto"/>
              <w:ind w:left="360" w:hanging="284"/>
              <w:contextualSpacing w:val="0"/>
              <w:jc w:val="both"/>
            </w:pPr>
            <w:r>
              <w:rPr>
                <w:rFonts w:ascii="Calibri" w:hAnsi="Calibri" w:cs="Calibri"/>
                <w:b/>
                <w:bCs/>
                <w:color w:val="1A1A1A"/>
                <w:sz w:val="22"/>
                <w:szCs w:val="22"/>
                <w:lang w:val="es-CL"/>
              </w:rPr>
              <w:t xml:space="preserve">Traspaso de develop a main y revisión del repositorio:</w:t>
            </w:r>
            <w:r>
              <w:rPr>
                <w:rFonts w:ascii="Calibri" w:hAnsi="Calibri" w:cs="Calibri"/>
                <w:color w:val="1A1A1A"/>
                <w:sz w:val="22"/>
                <w:szCs w:val="22"/>
                <w:lang w:val="es-CL"/>
              </w:rPr>
              <w:t xml:space="preserve"> Diego, como único responsable.</w:t>
            </w:r>
          </w:p>
          <w:p>
            <w:pPr>
              <w:pStyle w:val="Prrafodelista"/>
              <w:numPr>
                <w:ilvl w:val="0"/>
                <w:numId w:val="16"/>
              </w:numPr>
              <w:spacing w:before="0" w:after="120" w:line="264" w:lineRule="auto"/>
              <w:ind w:left="360" w:hanging="284"/>
              <w:contextualSpacing w:val="0"/>
              <w:jc w:val="both"/>
            </w:pPr>
            <w:r>
              <w:rPr>
                <w:rFonts w:ascii="Calibri" w:hAnsi="Calibri" w:cs="Calibri"/>
                <w:b/>
                <w:bCs/>
                <w:color w:val="1A1A1A"/>
                <w:sz w:val="22"/>
                <w:szCs w:val="22"/>
                <w:lang w:val="es-CL"/>
              </w:rPr>
              <w:t xml:space="preserve">Documentación técnica (README, guía de operación e informe final):</w:t>
            </w:r>
            <w:r>
              <w:rPr>
                <w:rFonts w:ascii="Calibri" w:hAnsi="Calibri" w:cs="Calibri"/>
                <w:color w:val="1A1A1A"/>
                <w:sz w:val="22"/>
                <w:szCs w:val="22"/>
                <w:lang w:val="es-CL"/>
              </w:rPr>
              <w:t xml:space="preserve"> ambos, cada uno sobre sus componentes.</w:t>
            </w:r>
          </w:p>
        </w:tc>
      </w:tr>
    </w:tbl>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pPr>
              <w:spacing w:before="160" w:after="100" w:line="264" w:lineRule="auto"/>
              <w:jc w:val="both"/>
            </w:pPr>
            <w:r>
              <w:rPr>
                <w:rFonts w:ascii="Calibri" w:hAnsi="Calibri" w:cs="Calibri"/>
                <w:color w:val="1A1A1A"/>
                <w:sz w:val="22"/>
                <w:szCs w:val="22"/>
                <w:lang w:val="es-CL"/>
              </w:rPr>
              <w:t xml:space="preserve">Evaluamos el trabajo en grupo como positivo.</w:t>
            </w:r>
          </w:p>
          <w:p>
            <w:pPr>
              <w:spacing w:before="0" w:after="100" w:line="264" w:lineRule="auto"/>
              <w:jc w:val="both"/>
            </w:pPr>
            <w:r>
              <w:rPr>
                <w:rFonts w:ascii="Calibri" w:hAnsi="Calibri" w:cs="Calibri"/>
                <w:b/>
                <w:bCs/>
                <w:color w:val="1A1A1A"/>
                <w:sz w:val="22"/>
                <w:szCs w:val="22"/>
                <w:lang w:val="es-CL"/>
              </w:rPr>
              <w:t xml:space="preserve">Aspectos positivos.</w:t>
            </w:r>
            <w:r>
              <w:rPr>
                <w:rFonts w:ascii="Calibri" w:hAnsi="Calibri" w:cs="Calibri"/>
                <w:color w:val="1A1A1A"/>
                <w:sz w:val="22"/>
                <w:szCs w:val="22"/>
                <w:lang w:val="es-CL"/>
              </w:rPr>
              <w:t xml:space="preserve"> La división por capas nos permitió trabajar en paralelo sin bloquearnos. El formato común de la capa plata funciona como un acuerdo entre ambos: los extractores entregan siempre las mismas columnas, y el cruce no depende de cómo se obtuvieron los datos. También trabajamos con ramas separadas en Git (develop y una rama por farmacia), lo que evitó que el avance de uno rompiera el trabajo del otro.</w:t>
            </w:r>
          </w:p>
          <w:p>
            <w:pPr>
              <w:spacing w:before="0" w:after="100" w:line="264" w:lineRule="auto"/>
              <w:jc w:val="both"/>
            </w:pPr>
            <w:r>
              <w:rPr>
                <w:rFonts w:ascii="Calibri" w:hAnsi="Calibri" w:cs="Calibri"/>
                <w:b/>
                <w:bCs/>
                <w:color w:val="1A1A1A"/>
                <w:sz w:val="22"/>
                <w:szCs w:val="22"/>
                <w:lang w:val="es-CL"/>
              </w:rPr>
              <w:t xml:space="preserve">Aspectos por mejorar.</w:t>
            </w:r>
            <w:r>
              <w:rPr>
                <w:rFonts w:ascii="Calibri" w:hAnsi="Calibri" w:cs="Calibri"/>
                <w:color w:val="1A1A1A"/>
                <w:sz w:val="22"/>
                <w:szCs w:val="22"/>
                <w:lang w:val="es-CL"/>
              </w:rPr>
              <w:t xml:space="preserve"> La coordinación antes de cambios que nos afectan a ambos. El traslado del código a la rama main se hizo sin coordinarlo y quedó incompleto, por lo que tuvimos que rehacerlo. Para evitarlo, proponemos:</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Avisar antes de subir cambios a main.</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Actualizar el repositorio local (git pull) antes de empezar a trabajar.</w:t>
            </w:r>
          </w:p>
          <w:p>
            <w:pPr>
              <w:pStyle w:val="Prrafodelista"/>
              <w:numPr>
                <w:ilvl w:val="0"/>
                <w:numId w:val="16"/>
              </w:numPr>
              <w:spacing w:before="0" w:after="40" w:line="264" w:lineRule="auto"/>
              <w:ind w:left="360" w:hanging="284"/>
              <w:contextualSpacing w:val="0"/>
              <w:jc w:val="both"/>
            </w:pPr>
            <w:r>
              <w:rPr>
                <w:rFonts w:ascii="Calibri" w:hAnsi="Calibri" w:cs="Calibri"/>
                <w:color w:val="1A1A1A"/>
                <w:sz w:val="22"/>
                <w:szCs w:val="22"/>
                <w:lang w:val="es-CL"/>
              </w:rPr>
              <w:t xml:space="preserve">Revisar el código del otro mediante pull requests en lugar de subir cambios directamente.</w:t>
            </w:r>
          </w:p>
          <w:p>
            <w:pPr>
              <w:pStyle w:val="Prrafodelista"/>
              <w:numPr>
                <w:ilvl w:val="0"/>
                <w:numId w:val="16"/>
              </w:numPr>
              <w:spacing w:before="0" w:after="120" w:line="264" w:lineRule="auto"/>
              <w:ind w:left="360" w:hanging="284"/>
              <w:contextualSpacing w:val="0"/>
              <w:jc w:val="both"/>
            </w:pPr>
            <w:r>
              <w:rPr>
                <w:rFonts w:ascii="Calibri" w:hAnsi="Calibri" w:cs="Calibri"/>
                <w:color w:val="1A1A1A"/>
                <w:sz w:val="22"/>
                <w:szCs w:val="22"/>
                <w:lang w:val="es-CL"/>
              </w:rPr>
              <w:t xml:space="preserve">Reunirnos al menos una vez por semana y dejar por escrito los acuerdos y decisiones.</w:t>
            </w: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