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Análisis del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Contexto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Chile, el gasto en medicamentos recae principalmente en las familias. El gasto de bolsillo representa cerca del 32% del gasto total en salud y el 40% de ese gasto corresponde a medicamentos (Banco Interamericano de Desarrollo [BID], 2023). Los hogares financian el 62% del gasto total en medicamentos (Cámara de la Innovación Farmacéutica de Chile [CIF], 2025), y casi 7 de cada 10 hogares destina más de $30.000 al mes a medicamentos (La Tercera, 2026).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política de bioequivalencia permite que existan alternativas certificadas por el Instituto de Salud Pública (ISP), con eficacia demostrada y generalmente más baratas. Según el BID (2023), sustituir productos de marca por sus equivalentes podría reducir en torno a un 10% el gasto de los hogares en medicamentos.</w:t>
      </w:r>
    </w:p>
    <w:p>
      <w:pPr>
        <w:pStyle w:val="Heading1"/>
      </w:pPr>
      <w:r>
        <w:t xml:space="preserve">2. Problema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información existe, pero está separada. El ISP publica en archivos técnicos qué productos son intercambiables, y cada cadena publica sus precios en su propio sitio, con nombres y formatos distintos. Nadie cruza ambas fuentes. Una persona con una receta no tiene cómo saber qué alternativas equivalentes existen ni cuánto cuestan en cada farmacia.</w:t>
      </w:r>
    </w:p>
    <w:p>
      <w:pPr>
        <w:pStyle w:val="Heading1"/>
      </w:pPr>
      <w:r>
        <w:t xml:space="preserve">3. Causas identificadas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listados del ISP se publican como archivos .xls que en realidad son páginas HTML, poco accesibles para el público.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Cada farmacia nombra el mismo producto de forma distinta y no siempre publica el registro sanitario.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Las farmacias declaran la bioequivalencia por su cuenta: con dos farmacias se detectaron 20 discrepancias con el ISP, 19 de ellas en la misma dirección (la farmacia no declara una bioequivalencia que el ISP sí certifica).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precios cambian en días y las promociones difieren entre cadenas.</w:t>
      </w:r>
    </w:p>
    <w:p>
      <w:pPr>
        <w:spacing w:after="60"/>
      </w:pPr>
    </w:p>
    <w:p>
      <w:pPr>
        <w:pStyle w:val="Heading1"/>
      </w:pPr>
      <w:r>
        <w:t xml:space="preserve">4. Usuarios afectados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Pacientes con tratamientos crónicos, cuyo gasto es recurrente.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Adultos mayores y sus cuidadores.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Cualquier persona que compre medicamentos con su propio dinero.</w:t>
      </w:r>
    </w:p>
    <w:p>
      <w:pPr>
        <w:spacing w:after="60"/>
      </w:pPr>
    </w:p>
    <w:p>
      <w:pPr>
        <w:pStyle w:val="Heading1"/>
      </w:pPr>
      <w:r>
        <w:t xml:space="preserve">5. Solución propuesta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BioEqui integra el catálogo oficial del ISP con los catálogos públicos de cuatro cadenas (Dr. Simi, Cruz Verde, Ahumada y Profar), agrupa solo los productos realmente intercambiables y muestra sus precios lado a lado, junto con su historial y el origen del dato de bioequivalencia.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Dentro del alcance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Búsqueda por nombre o principio activo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Venta de medicamentos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Comparación estricta por principio activo, dosis, forma y envase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Procesamiento de recetas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Origen del dato: certificado por el ISP o declarado por la farmacia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Recomendaciones clínicas o diagnósticos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Historial de precios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Pasarelas de pago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Extracción ética de datos públicos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Datos personales de usuarios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Restricciones y supuestos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18 semanas de semestre y dos integrantes.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Solo fuentes públicas, respetando el robots.txt de cada sitio (por esta regla se descartó Salcobrand).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Software libre y equipos propios: el proyecto no compra licencias ni servicios.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 plataforma es informativa: no reemplaza la indicación de un profesional de la salud.</w:t>
      </w:r>
    </w:p>
    <w:p>
      <w:pPr>
        <w:spacing w:after="60"/>
      </w:pPr>
    </w:p>
    <w:p>
      <w:pPr>
        <w:pStyle w:val="Heading1"/>
      </w:pPr>
      <w:r>
        <w:t xml:space="preserve">7.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rPr>
          <w:tblHeader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OG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Desarrollar una plataforma web que identifique medicamentos bioequivalentes certificados por el ISP a partir de un medicamento comercial y compare sus precios entre cadenas de farmacias de Chile, integrando un registro histórico de precios.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OE1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Implementar un proceso de ingesta y normalización del catálogo oficial de bioequivalencia del ISP.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OE2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Construir extractores de datos para los catálogos de al menos tres cadenas farmacéuticas, respetando las restricciones de acceso declaradas por cada sitio.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OE3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Diseñar un modelo de datos relacional en PostgreSQL que soporte el catálogo oficial, la oferta comercial y el historial de precios.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OE4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Implementar un algoritmo de homologación estricta que agrupe los productos intercambiables según principio activo, dosis, forma farmacéutica y tamaño de envase.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OE5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Desarrollar una API REST y una aplicación web que permitan buscar un medicamento y comparar los precios de sus alternativas entre farmacias.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OE6</w:t>
            </w:r>
          </w:p>
        </w:tc>
        <w:tc>
          <w:tcPr>
            <w:tcW w:type="dxa" w:w="85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Validar la calidad de los datos integrados mediante métricas de cobertura y de discrepancias entre las farmacias y el ISP.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Referencias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Banco Interamericano de Desarrollo. (2023).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¿Cuánto podrían ahorrar y qué ganarían los hogares chilenos usando medicamentos genéricos en vez de sus equivalentes de marca?</w:t>
      </w:r>
      <w:r>
        <w:rPr>
          <w:rFonts w:ascii="Calibri" w:cs="Calibri" w:eastAsia="Calibri" w:hAnsi="Calibri"/>
          <w:sz w:val="22"/>
          <w:szCs w:val="22"/>
        </w:rPr>
        <w:t xml:space="preserve"> https://publications.iadb.org/es/cuanto-podrian-ahorrar-y-que-ganarian-los-hogares-chilenos-usando-medicamentos-genericos-en-vez-de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Cámara de la Innovación Farmacéutica de Chile. (2025, 6 de noviembre).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Estudio 2025 sobre gasto público en medicamentos.</w:t>
      </w:r>
      <w:r>
        <w:rPr>
          <w:rFonts w:ascii="Calibri" w:cs="Calibri" w:eastAsia="Calibri" w:hAnsi="Calibri"/>
          <w:sz w:val="22"/>
          <w:szCs w:val="22"/>
        </w:rPr>
        <w:t xml:space="preserve"> https://cifchile.cl/noticia/lanzamiento-segunda-edicion-del-estudio-caracterizacion-del-gasto-publico-en-medicamentos/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Tercera. (2026, 24 de agosto).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Siete de cada 10 hogares gastan más de $30 mil al mes en medicamentos.</w:t>
      </w:r>
      <w:r>
        <w:rPr>
          <w:rFonts w:ascii="Calibri" w:cs="Calibri" w:eastAsia="Calibri" w:hAnsi="Calibri"/>
          <w:sz w:val="22"/>
          <w:szCs w:val="22"/>
        </w:rPr>
        <w:t xml:space="preserve"> https://www.latercera.com/nacional/noticia/siete-de-cada-10-hogares-gastan-mas-de-30-mil-al-mes-en-medicamentos/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Análisis del caso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caso · undefined</dc:title>
  <dc:creator>BioEqui</dc:creator>
  <cp:lastModifiedBy>Un-named</cp:lastModifiedBy>
  <cp:revision>1</cp:revision>
  <dcterms:created xsi:type="dcterms:W3CDTF">2026-10-16T01:26:31.671Z</dcterms:created>
  <dcterms:modified xsi:type="dcterms:W3CDTF">2026-10-16T01:26:31.672Z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