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Visión del proyecto y 4 pilares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Visión</w:t>
      </w:r>
    </w:p>
    <w:p>
      <w:pPr>
        <w:pBdr>
          <w:left w:val="single" w:color="2F5496" w:sz="18" w:space="6"/>
        </w:pBdr>
        <w:shd w:fill="DEEAF6" w:color="auto" w:val="clear"/>
        <w:spacing w:after="160" w:before="80" w:line="276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Para las personas que compran medicamentos en Chile y no saben si existe una alternativa más barata y certificada, BioEqui es una plataforma web informativa que, en tres pasos, muestra las alternativas bioequivalentes de un medicamento y su precio en cada farmacia. A diferencia de un comparador de precios común, solo compara productos realmente intercambiables y distingue lo que certifica el ISP de lo que declara la farmacia.</w:t>
      </w:r>
    </w:p>
    <w:p>
      <w:pPr>
        <w:pStyle w:val="Heading1"/>
      </w:pPr>
      <w:r>
        <w:t xml:space="preserve">2. Los cuatro pilares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3"/>
        <w:gridCol w:w="2841"/>
        <w:gridCol w:w="4346"/>
      </w:tblGrid>
      <w:tr>
        <w:trPr>
          <w:tblHeader/>
        </w:trPr>
        <w:tc>
          <w:tcPr>
            <w:tcW w:type="dxa" w:w="217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284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  <w:tc>
          <w:tcPr>
            <w:tcW w:type="dxa" w:w="434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se cumple</w:t>
            </w:r>
          </w:p>
        </w:tc>
      </w:tr>
      <w:tr>
        <w:trPr>
          <w:cantSplit/>
        </w:trPr>
        <w:tc>
          <w:tcPr>
            <w:tcW w:type="dxa" w:w="217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Información verificada</w:t>
            </w:r>
          </w:p>
        </w:tc>
        <w:tc>
          <w:tcPr>
            <w:tcW w:type="dxa" w:w="284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ISP es la fuente de verdad sanitaria.</w:t>
            </w:r>
          </w:p>
        </w:tc>
        <w:tc>
          <w:tcPr>
            <w:tcW w:type="dxa" w:w="434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Vinculación por registro sanitario, tres validaciones y sello amarillo solo para lo certificado.</w:t>
            </w:r>
          </w:p>
        </w:tc>
      </w:tr>
      <w:tr>
        <w:trPr>
          <w:cantSplit/>
        </w:trPr>
        <w:tc>
          <w:tcPr>
            <w:tcW w:type="dxa" w:w="217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 Comparación estricta</w:t>
            </w:r>
          </w:p>
        </w:tc>
        <w:tc>
          <w:tcPr>
            <w:tcW w:type="dxa" w:w="284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Solo se compara lo intercambiable.</w:t>
            </w:r>
          </w:p>
        </w:tc>
        <w:tc>
          <w:tcPr>
            <w:tcW w:type="dxa" w:w="434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Clave de equivalencia: principio activo, concentración, familia de forma y envase.</w:t>
            </w:r>
          </w:p>
        </w:tc>
      </w:tr>
      <w:tr>
        <w:trPr>
          <w:cantSplit/>
        </w:trPr>
        <w:tc>
          <w:tcPr>
            <w:tcW w:type="dxa" w:w="217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3. Transparencia de precios</w:t>
            </w:r>
          </w:p>
        </w:tc>
        <w:tc>
          <w:tcPr>
            <w:tcW w:type="dxa" w:w="284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usuario sabe cuándo y dónde se observó cada precio.</w:t>
            </w:r>
          </w:p>
        </w:tc>
        <w:tc>
          <w:tcPr>
            <w:tcW w:type="dxa" w:w="434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 de muestreo, precio unitario, diferencia entre farmacias e historial.</w:t>
            </w:r>
          </w:p>
        </w:tc>
      </w:tr>
      <w:tr>
        <w:trPr>
          <w:cantSplit/>
        </w:trPr>
        <w:tc>
          <w:tcPr>
            <w:tcW w:type="dxa" w:w="217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4. Extracción responsable</w:t>
            </w:r>
          </w:p>
        </w:tc>
        <w:tc>
          <w:tcPr>
            <w:tcW w:type="dxa" w:w="284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datos se obtienen sin vulnerar reglas ni seguridad.</w:t>
            </w:r>
          </w:p>
        </w:tc>
        <w:tc>
          <w:tcPr>
            <w:tcW w:type="dxa" w:w="434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robots.txt, pausa de 2 s, identificación académica y credenciales fuera del código.</w:t>
            </w:r>
          </w:p>
        </w:tc>
      </w:tr>
    </w:tbl>
    <w:p>
      <w:pPr>
        <w:spacing w:after="160"/>
      </w:pPr>
    </w:p>
    <w:p>
      <w:pPr>
        <w:pBdr>
          <w:left w:val="single" w:color="C00000" w:sz="18" w:space="6"/>
        </w:pBdr>
        <w:shd w:fill="FCE4D6" w:color="auto" w:val="clear"/>
        <w:spacing w:after="160" w:before="80" w:line="276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El pilar 4 tiene dos pendientes: el extractor de Profar pagina con ?p=, que su robots.txt prohíbe, y el de Cruz Verde usa una cookie del sistema de protección del sitio y un User-Agent de navegador. Ver el registro de impedimentos (IMP-12 e IMP-16).</w:t>
      </w:r>
    </w:p>
    <w:p>
      <w:pPr>
        <w:pStyle w:val="Heading1"/>
      </w:pPr>
      <w:r>
        <w:t xml:space="preserve">3. Meta medible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Que una persona encuentre una alternativa bioequivalente certificada y su precio en cada farmacia en menos de tres pasos: búsqueda, presentación y envase, comparación.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Visión del proyecto y 4 pilares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Visión del proyecto y 4 pilares · undefined</dc:title>
  <dc:creator>BioEqui</dc:creator>
  <cp:lastModifiedBy>Un-named</cp:lastModifiedBy>
  <cp:revision>1</cp:revision>
  <dcterms:created xsi:type="dcterms:W3CDTF">2026-10-16T01:26:32.852Z</dcterms:created>
  <dcterms:modified xsi:type="dcterms:W3CDTF">2026-10-16T01:26:32.852Z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