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color w:val="2F5496"/>
          <w:sz w:val="20"/>
          <w:szCs w:val="20"/>
        </w:rPr>
        <w:t xml:space="preserve">BioEqui · Documentación Scrum</w:t>
      </w:r>
    </w:p>
    <w:p>
      <w:pPr>
        <w:pBdr>
          <w:bottom w:val="single" w:color="1F3864" w:sz="12" w:space="6"/>
        </w:pBdr>
        <w:spacing w:after="200"/>
      </w:pPr>
      <w:r>
        <w:rPr>
          <w:rFonts w:ascii="Calibri" w:cs="Calibri" w:eastAsia="Calibri" w:hAnsi="Calibri"/>
          <w:b/>
          <w:bCs/>
          <w:color w:val="1F3864"/>
          <w:sz w:val="44"/>
          <w:szCs w:val="44"/>
        </w:rPr>
        <w:t xml:space="preserve">Retrospectiva del proyecto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8"/>
        <w:gridCol w:w="7332"/>
      </w:tblGrid>
      <w:tr>
        <w:trPr>
          <w:tblHeader/>
        </w:trPr>
        <w:tc>
          <w:tcPr>
            <w:tcW w:type="dxa" w:w="202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Proyecto</w:t>
            </w:r>
          </w:p>
        </w:tc>
        <w:tc>
          <w:tcPr>
            <w:tcW w:type="dxa" w:w="733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BioEqui: Plataforma de homologación de medicamentos bioequivalentes y analítica de precios en farmacias de Chile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Integrantes</w:t>
            </w:r>
          </w:p>
        </w:tc>
        <w:tc>
          <w:tcPr>
            <w:tcW w:type="dxa" w:w="733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Diego Fuentes Hernández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Iván Fernández Antipán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Docente</w:t>
            </w:r>
          </w:p>
        </w:tc>
        <w:tc>
          <w:tcPr>
            <w:tcW w:type="dxa" w:w="733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Marco Valenzuela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Asignatura</w:t>
            </w:r>
          </w:p>
        </w:tc>
        <w:tc>
          <w:tcPr>
            <w:tcW w:type="dxa" w:w="733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Capstone (PTY4614) · Ingeniería en Informática · Duoc UC, sede San Joaquín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Sección</w:t>
            </w:r>
          </w:p>
        </w:tc>
        <w:tc>
          <w:tcPr>
            <w:tcW w:type="dxa" w:w="733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004D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Metodología</w:t>
            </w:r>
          </w:p>
        </w:tc>
        <w:tc>
          <w:tcPr>
            <w:tcW w:type="dxa" w:w="733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Scrum (4 sprints de 3 semanas)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Fecha</w:t>
            </w:r>
          </w:p>
        </w:tc>
        <w:tc>
          <w:tcPr>
            <w:tcW w:type="dxa" w:w="733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15-10-2026</w:t>
            </w:r>
          </w:p>
        </w:tc>
      </w:tr>
    </w:tbl>
    <w:p>
      <w:pPr>
        <w:spacing w:after="200"/>
      </w:pPr>
    </w:p>
    <w:p>
      <w:pPr>
        <w:pBdr>
          <w:left w:val="single" w:color="BF8F00" w:sz="18" w:space="6"/>
        </w:pBdr>
        <w:shd w:fill="FFF2CC" w:color="auto" w:val="clear"/>
        <w:spacing w:after="160" w:before="80" w:line="276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Borrador construido con lo ocurrido hasta el Sprint 2. Revisarlo en equipo y completarlo al cierre del proyecto.</w:t>
      </w:r>
    </w:p>
    <w:p>
      <w:pPr>
        <w:pStyle w:val="Heading1"/>
      </w:pPr>
      <w:r>
        <w:t xml:space="preserve">1. Lo que funcionó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Dividir el trabajo por capas permitió avanzar en paralelo: los extractores entregan siempre las mismas columnas y el cruce no depende de la fuente.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Guardar el dato crudo (bronce) permitió corregir dos errores sin volver a descargar.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Cada validación nació de un error real encontrado en los datos, lo que hace defendible cada decisión.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El desarrollo se adelantó: al cierre del Sprint 1 ya existía una versión funcional de punta a punta.</w:t>
      </w:r>
    </w:p>
    <w:p>
      <w:pPr>
        <w:spacing w:after="60"/>
      </w:pPr>
    </w:p>
    <w:p>
      <w:pPr>
        <w:pStyle w:val="Heading1"/>
      </w:pPr>
      <w:r>
        <w:t xml:space="preserve">2. Lo que no funcionó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La documentación quedó para el final de cada fase.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El traspaso de develop a main se hizo sin coordinar y hubo que rehacerlo.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Se aplicaron soluciones de extracción (Cruz Verde, Profar) sin revisar las reglas que el propio proyecto declaró.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Quedaron credenciales en el repositorio público.</w:t>
      </w:r>
    </w:p>
    <w:p>
      <w:pPr>
        <w:spacing w:after="60"/>
      </w:pPr>
    </w:p>
    <w:p>
      <w:pPr>
        <w:pStyle w:val="Heading1"/>
      </w:pPr>
      <w:r>
        <w:t xml:space="preserve">3. Qué haríamos distinto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Revisar el cumplimiento (robots.txt, identificación, credenciales) como parte de la definición de terminado de cada extractor.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Documentar las decisiones en el momento en que se toman.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Usar pull requests para todo cambio a main y revisión cruzada.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Medir el conteo de productos por farmacia en cada muestreo para detectar caídas.</w:t>
      </w:r>
    </w:p>
    <w:p>
      <w:pPr>
        <w:spacing w:after="60"/>
      </w:pPr>
    </w:p>
    <w:p>
      <w:pPr>
        <w:pStyle w:val="Heading1"/>
      </w:pPr>
      <w:r>
        <w:t xml:space="preserve">4. Resultados del proyecto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Dato</w:t>
            </w:r>
          </w:p>
        </w:tc>
        <w:tc>
          <w:tcPr>
            <w:tcW w:type="dxa" w:w="234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Valor</w:t>
            </w:r>
          </w:p>
        </w:tc>
        <w:tc>
          <w:tcPr>
            <w:tcW w:type="dxa" w:w="234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Fuente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Registros sanitarios del ISP</w:t>
            </w:r>
          </w:p>
        </w:tc>
        <w:tc>
          <w:tcPr>
            <w:tcW w:type="dxa" w:w="234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4.816</w:t>
            </w:r>
          </w:p>
        </w:tc>
        <w:tc>
          <w:tcPr>
            <w:tcW w:type="dxa" w:w="234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Documento de defensa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Principios activos distintos</w:t>
            </w:r>
          </w:p>
        </w:tc>
        <w:tc>
          <w:tcPr>
            <w:tcW w:type="dxa" w:w="234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763</w:t>
            </w:r>
          </w:p>
        </w:tc>
        <w:tc>
          <w:tcPr>
            <w:tcW w:type="dxa" w:w="234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Documento de defensa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Concentraciones expresadas como razón (ej. 160 mg/5 mL)</w:t>
            </w:r>
          </w:p>
        </w:tc>
        <w:tc>
          <w:tcPr>
            <w:tcW w:type="dxa" w:w="234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477</w:t>
            </w:r>
          </w:p>
        </w:tc>
        <w:tc>
          <w:tcPr>
            <w:tcW w:type="dxa" w:w="234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NOTAS.md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Productos sin vinculación en la extracción inicial</w:t>
            </w:r>
          </w:p>
        </w:tc>
        <w:tc>
          <w:tcPr>
            <w:tcW w:type="dxa" w:w="234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46 %</w:t>
            </w:r>
          </w:p>
        </w:tc>
        <w:tc>
          <w:tcPr>
            <w:tcW w:type="dxa" w:w="234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init_v2.sql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Productos con composición incompleta</w:t>
            </w:r>
          </w:p>
        </w:tc>
        <w:tc>
          <w:tcPr>
            <w:tcW w:type="dxa" w:w="234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96</w:t>
            </w:r>
          </w:p>
        </w:tc>
        <w:tc>
          <w:tcPr>
            <w:tcW w:type="dxa" w:w="234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NOTAS.md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Discrepancias farmacia vs. ISP (dos farmacias)</w:t>
            </w:r>
          </w:p>
        </w:tc>
        <w:tc>
          <w:tcPr>
            <w:tcW w:type="dxa" w:w="234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20 (19 en la misma dirección)</w:t>
            </w:r>
          </w:p>
        </w:tc>
        <w:tc>
          <w:tcPr>
            <w:tcW w:type="dxa" w:w="234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NOTAS.md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Grupos comparables (dos farmacias)</w:t>
            </w:r>
          </w:p>
        </w:tc>
        <w:tc>
          <w:tcPr>
            <w:tcW w:type="dxa" w:w="234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495</w:t>
            </w:r>
          </w:p>
        </w:tc>
        <w:tc>
          <w:tcPr>
            <w:tcW w:type="dxa" w:w="234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Documento de defensa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Vinculaciones apartadas por dudosas (dos farmacias)</w:t>
            </w:r>
          </w:p>
        </w:tc>
        <w:tc>
          <w:tcPr>
            <w:tcW w:type="dxa" w:w="234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18</w:t>
            </w:r>
          </w:p>
        </w:tc>
        <w:tc>
          <w:tcPr>
            <w:tcW w:type="dxa" w:w="234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Documento de defensa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Productos Dr. Simi (12-10-2026)</w:t>
            </w:r>
          </w:p>
        </w:tc>
        <w:tc>
          <w:tcPr>
            <w:tcW w:type="dxa" w:w="234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771</w:t>
            </w:r>
          </w:p>
        </w:tc>
        <w:tc>
          <w:tcPr>
            <w:tcW w:type="dxa" w:w="234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data/bronce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Productos Cruz Verde (12-10-2026)</w:t>
            </w:r>
          </w:p>
        </w:tc>
        <w:tc>
          <w:tcPr>
            <w:tcW w:type="dxa" w:w="234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3.259</w:t>
            </w:r>
          </w:p>
        </w:tc>
        <w:tc>
          <w:tcPr>
            <w:tcW w:type="dxa" w:w="234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data/bronce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Productos Ahumada (12-10-2026)</w:t>
            </w:r>
          </w:p>
        </w:tc>
        <w:tc>
          <w:tcPr>
            <w:tcW w:type="dxa" w:w="234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2.882</w:t>
            </w:r>
          </w:p>
        </w:tc>
        <w:tc>
          <w:tcPr>
            <w:tcW w:type="dxa" w:w="234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data/bronce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Productos Profar (22-09 / 12-10-2026)</w:t>
            </w:r>
          </w:p>
        </w:tc>
        <w:tc>
          <w:tcPr>
            <w:tcW w:type="dxa" w:w="234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1.950 / 390</w:t>
            </w:r>
          </w:p>
        </w:tc>
        <w:tc>
          <w:tcPr>
            <w:tcW w:type="dxa" w:w="234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data/bronce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Fechas de muestreo Dr. Simi y Cruz Verde</w:t>
            </w:r>
          </w:p>
        </w:tc>
        <w:tc>
          <w:tcPr>
            <w:tcW w:type="dxa" w:w="234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7</w:t>
            </w:r>
          </w:p>
        </w:tc>
        <w:tc>
          <w:tcPr>
            <w:tcW w:type="dxa" w:w="234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data/bronce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Fechas de muestreo Ahumada y Profar</w:t>
            </w:r>
          </w:p>
        </w:tc>
        <w:tc>
          <w:tcPr>
            <w:tcW w:type="dxa" w:w="234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4</w:t>
            </w:r>
          </w:p>
        </w:tc>
        <w:tc>
          <w:tcPr>
            <w:tcW w:type="dxa" w:w="234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data/bronce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5. Lecciones de cada integrante</w:t>
      </w:r>
    </w:p>
    <w:p>
      <w:pPr>
        <w:pBdr>
          <w:left w:val="single" w:color="BF8F00" w:sz="18" w:space="6"/>
        </w:pBdr>
        <w:shd w:fill="FFF2CC" w:color="auto" w:val="clear"/>
        <w:spacing w:after="160" w:before="80" w:line="276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Borrador redactado a partir del trabajo de cada uno. Cada integrante debe revisarlo y ajustarlo con sus palabras.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Integrante</w:t>
            </w:r>
          </w:p>
        </w:tc>
        <w:tc>
          <w:tcPr>
            <w:tcW w:type="dxa" w:w="702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Lección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Diego Fuentes Hernández</w:t>
            </w:r>
          </w:p>
        </w:tc>
        <w:tc>
          <w:tcPr>
            <w:tcW w:type="dxa" w:w="702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Aprendí que lo más difícil de un proyecto de datos no es programar, sino entender qué significa cada dato. Diseñar la capa oro me obligó a justificar cada regla con un caso real, y a aceptar que es mejor dejar un producto fuera de la comparación que agruparlo mal. También aprendí que la documentación hay que escribirla cuando se toma la decisión, no al final.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Iván Fernández Antipán</w:t>
            </w:r>
          </w:p>
        </w:tc>
        <w:tc>
          <w:tcPr>
            <w:tcW w:type="dxa" w:w="702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Aprendí que cada sitio web es distinto y que un extractor que funciona hoy puede fallar mañana. También que antes de resolver un bloqueo técnico hay que revisar si la solución respeta las reglas del sitio y del proyecto: no basta con que funcione. Ordenar el repositorio me enseñó a coordinar los cambios antes de subirlos a main.</w:t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2240" w:h="15840" w:orient="portrait"/>
      <w:pgMar w:top="1440" w:right="1440" w:bottom="130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7F7F7F"/>
        <w:sz w:val="16"/>
        <w:szCs w:val="16"/>
      </w:rPr>
      <w:t xml:space="preserve">BioEqui · Retrospectiva del proyecto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40"/>
      <w:outlineLvl w:val="1"/>
    </w:pPr>
    <w:rPr>
      <w:rFonts w:ascii="Calibri" w:cs="Calibri" w:eastAsia="Calibri" w:hAnsi="Calibri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80" w:before="180"/>
      <w:outlineLvl w:val="2"/>
    </w:pPr>
    <w:rPr>
      <w:rFonts w:ascii="Calibri" w:cs="Calibri" w:eastAsia="Calibri" w:hAnsi="Calibri"/>
      <w:b/>
      <w:bCs/>
      <w:color w:val="4040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Retrospectiva del proyecto · undefined</dc:title>
  <dc:creator>BioEqui</dc:creator>
  <cp:lastModifiedBy>Un-named</cp:lastModifiedBy>
  <cp:revision>1</cp:revision>
  <dcterms:created xsi:type="dcterms:W3CDTF">2026-10-16T01:26:33.270Z</dcterms:created>
  <dcterms:modified xsi:type="dcterms:W3CDTF">2026-10-16T01:26:33.270Z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