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Plan de releases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864"/>
        <w:gridCol w:w="1296"/>
        <w:gridCol w:w="2592"/>
        <w:gridCol w:w="1728"/>
      </w:tblGrid>
      <w:tr>
        <w:trPr>
          <w:tblHeader/>
        </w:trPr>
        <w:tc>
          <w:tcPr>
            <w:tcW w:type="dxa" w:w="28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86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59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7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R1 · MVP de datos y comparación</w:t>
            </w:r>
          </w:p>
        </w:tc>
        <w:tc>
          <w:tcPr>
            <w:tcW w:type="dxa" w:w="86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2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27-09-2026</w:t>
            </w:r>
          </w:p>
        </w:tc>
        <w:tc>
          <w:tcPr>
            <w:tcW w:type="dxa" w:w="259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HU01–HU06, HU08–HU17, HU20</w:t>
            </w:r>
          </w:p>
        </w:tc>
        <w:tc>
          <w:tcPr>
            <w:tcW w:type="dxa" w:w="17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Liberado (demo local)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R2 · Historial y entorno estable</w:t>
            </w:r>
          </w:p>
        </w:tc>
        <w:tc>
          <w:tcPr>
            <w:tcW w:type="dxa" w:w="86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18-10-2026</w:t>
            </w:r>
          </w:p>
        </w:tc>
        <w:tc>
          <w:tcPr>
            <w:tcW w:type="dxa" w:w="259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HU27, HU28, HU29</w:t>
            </w:r>
          </w:p>
        </w:tc>
        <w:tc>
          <w:tcPr>
            <w:tcW w:type="dxa" w:w="17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Liberado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R3 · Calidad y cumplimiento</w:t>
            </w:r>
          </w:p>
        </w:tc>
        <w:tc>
          <w:tcPr>
            <w:tcW w:type="dxa" w:w="86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08-11-2026</w:t>
            </w:r>
          </w:p>
        </w:tc>
        <w:tc>
          <w:tcPr>
            <w:tcW w:type="dxa" w:w="259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HU07, HU18, HU19, HU21, HU22, HU23, HU25</w:t>
            </w:r>
          </w:p>
        </w:tc>
        <w:tc>
          <w:tcPr>
            <w:tcW w:type="dxa" w:w="17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R4 · Entrega final</w:t>
            </w:r>
          </w:p>
        </w:tc>
        <w:tc>
          <w:tcPr>
            <w:tcW w:type="dxa" w:w="86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2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29-11-2026</w:t>
            </w:r>
          </w:p>
        </w:tc>
        <w:tc>
          <w:tcPr>
            <w:tcW w:type="dxa" w:w="259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HU24, HU26 (opcional)</w:t>
            </w:r>
          </w:p>
        </w:tc>
        <w:tc>
          <w:tcPr>
            <w:tcW w:type="dxa" w:w="17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Planificado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Fechas calculadas con inicio de semestre el 10-08-2026 (supuesto: verificar).</w:t>
      </w:r>
    </w:p>
    <w:p>
      <w:pPr>
        <w:pStyle w:val="Heading1"/>
      </w:pPr>
      <w:r>
        <w:t xml:space="preserve">2. Notas de versión</w:t>
      </w:r>
    </w:p>
    <w:p>
      <w:pPr>
        <w:pStyle w:val="Heading2"/>
      </w:pPr>
      <w:r>
        <w:t xml:space="preserve">R1 · MVP de datos y comparación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Catálogo del ISP consolidado y normalizado: 4.816 registros sanitarios y 763 principios activos.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Extractores de Dr. Simi, Cruz Verde, Ahumada y Profar (capa bronce) y normalización a formato común (plata).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Capa oro: vinculación por raíz del registro, tres validaciones, clave de equivalencia y grupos comparables.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Base PostgreSQL v2 con historial de precios sin duplicados.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API con búsqueda en tres niveles (/buscar, /presentacion, /comparar) y detalle con historial (/producto).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Página React: búsqueda, envases, comparación, sello amarillo/gris, fecha del precio, advertencia y enlace a la farmacia.</w:t>
      </w:r>
    </w:p>
    <w:p>
      <w:pPr>
        <w:spacing w:after="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conocidos:</w:t>
      </w:r>
      <w:r>
        <w:rPr>
          <w:rFonts w:ascii="Calibri" w:cs="Calibri" w:eastAsia="Calibri" w:hAnsi="Calibri"/>
          <w:sz w:val="22"/>
          <w:szCs w:val="22"/>
        </w:rPr>
        <w:t xml:space="preserve"> etiqueta de dosis en combinados; Profar y Cruz Verde con observación de cumplimiento.</w:t>
      </w:r>
    </w:p>
    <w:p>
      <w:pPr>
        <w:pStyle w:val="Heading2"/>
      </w:pPr>
      <w:r>
        <w:t xml:space="preserve">R2 · Historial y entorno estable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Muestreos de precios del 01-10, 05-10 y 12-10.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Código centralizado en Desarrollo_Proyecto y fusionado a main (PR #8, 09-10).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Base en el contenedor bioequi_postgres_v2, puerto 5433.</w:t>
      </w:r>
    </w:p>
    <w:p>
      <w:pPr>
        <w:spacing w:after="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conocidos:</w:t>
      </w:r>
      <w:r>
        <w:rPr>
          <w:rFonts w:ascii="Calibri" w:cs="Calibri" w:eastAsia="Calibri" w:hAnsi="Calibri"/>
          <w:sz w:val="22"/>
          <w:szCs w:val="22"/>
        </w:rPr>
        <w:t xml:space="preserve"> Profar descarga 390 productos desde el 01-10 (antes 1.950); credenciales en docker-compose.yml y en el extractor de Cruz Verde.</w:t>
      </w:r>
    </w:p>
    <w:p>
      <w:pPr>
        <w:pStyle w:val="Heading2"/>
      </w:pPr>
      <w:r>
        <w:t xml:space="preserve">R3 · Calidad y cumplimiento (planificado)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Credenciales fuera del código (.env).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Profar recorrido con su sitemap.xml; decisión sobre Cruz Verde con el docente.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Métricas con las cuatro farmacias.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Historial en la página y corrección de combinados.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Script de actualización versionado.</w:t>
      </w:r>
    </w:p>
    <w:p>
      <w:pPr>
        <w:spacing w:after="60"/>
      </w:pPr>
    </w:p>
    <w:p>
      <w:pPr>
        <w:pStyle w:val="Heading2"/>
      </w:pPr>
      <w:r>
        <w:t xml:space="preserve">R4 · Entrega final (planificado)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Plan de pruebas ejecutado y documentado.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Manuales e informe final.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Publicación en la nube, si alcanza el tiempo.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Release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· undefined</dc:title>
  <dc:creator>BioEqui</dc:creator>
  <cp:lastModifiedBy>Un-named</cp:lastModifiedBy>
  <cp:revision>1</cp:revision>
  <dcterms:created xsi:type="dcterms:W3CDTF">2026-10-16T01:26:33.446Z</dcterms:created>
  <dcterms:modified xsi:type="dcterms:W3CDTF">2026-10-16T01:26:33.446Z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