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Arquitectura de la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Arquitectura lógica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datos recorren tres capas antes de llegar a la base: bronce guarda lo que llega de cada fuente sin modificar, plata deja cada fuente en un formato común y oro cruza con el ISP, valida y arma los grupos comparables. La API consulta la base y la página consume la API.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90725"/>
            <wp:effectExtent t="0" r="0" b="0" l="0"/>
            <wp:docPr id="1" name="arquitectura.png" descr="Figura 1. Arquitectura de la solución." title="Figura 1. Arquitectura de la solu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Arquitectura de la solución.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3744"/>
        <w:gridCol w:w="3900"/>
      </w:tblGrid>
      <w:tr>
        <w:trPr>
          <w:tblHeader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Fuentes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ISP (datos abiertos), sitios de farmacias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Origen de los datos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Bronce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requests, BeautifulSoup · JSON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Dato crudo con fecha de muestreo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Plata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pandas · CSV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Formato común por farmacia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Oro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 · CSV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Cruce, validación y grupos comparables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PostgreSQL 15 en Docker (puerto 5433)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Catálogo, oferta e historial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Servicio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FastAPI + Uvicorn (puerto 8000)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Búsqueda en tres niveles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74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React + Vite (puerto 5173)</w:t>
            </w:r>
          </w:p>
        </w:tc>
        <w:tc>
          <w:tcPr>
            <w:tcW w:type="dxa" w:w="39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Interfaz de búsqueda y comparación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Por qué tres capas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Corregir errores sin volver a descargar: se usó dos veces (un día de historial borrado por el cargador y la detección del tamaño de envase).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Un solo lugar donde se cruzan las farmacias: agregar una cadena no cambió el cruce, bastó con que produjera las mismas columnas.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Medir la calidad de los datos: de la capa oro salen las discrepancias y las vinculaciones apartadas.</w:t>
      </w:r>
    </w:p>
    <w:p>
      <w:pPr>
        <w:spacing w:after="60"/>
      </w:pPr>
    </w:p>
    <w:p>
      <w:pPr>
        <w:pStyle w:val="Heading1"/>
      </w:pPr>
      <w:r>
        <w:t xml:space="preserve">3. Despliegue actual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despliegue.png" descr="Figura 2. Despliegue local con Docker." title="Figura 2. Despliegue local con Doc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Despliegue local con Docker.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Arquitectura de la solución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72dfa57d37a1423b7cddd3a5ec891234ed4b05.png"/><Relationship Id="rId10" Type="http://schemas.openxmlformats.org/officeDocument/2006/relationships/image" Target="media/7cc718b2424bd0138d68280ac647b445b32f43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la solución · undefined</dc:title>
  <dc:creator>BioEqui</dc:creator>
  <cp:lastModifiedBy>Un-named</cp:lastModifiedBy>
  <cp:revision>1</cp:revision>
  <dcterms:created xsi:type="dcterms:W3CDTF">2026-10-16T01:26:34.035Z</dcterms:created>
  <dcterms:modified xsi:type="dcterms:W3CDTF">2026-10-16T01:26:34.036Z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