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B08D57"/>
          <w:sz w:val="16"/>
        </w:rPr>
        <w:t>HACK HYDRA 2026 · HYDRADG · EXECUTIVE ONE-PAGER</w:t>
      </w:r>
    </w:p>
    <w:p>
      <w:pPr>
        <w:spacing w:after="40"/>
      </w:pPr>
      <w:r>
        <w:rPr>
          <w:rFonts w:ascii="Georgia" w:hAnsi="Georgia"/>
          <w:b/>
          <w:color w:val="181818"/>
          <w:sz w:val="42"/>
        </w:rPr>
        <w:t>HydraDB makes context stateful. HydraDG makes it auditable, perturbable, and economically measurable.</w:t>
      </w:r>
    </w:p>
    <w:p>
      <w:pPr>
        <w:spacing w:after="140"/>
      </w:pPr>
      <w:r>
        <w:rPr>
          <w:color w:val="666666"/>
          <w:sz w:val="20"/>
        </w:rPr>
        <w:t>Store canonical identity once. Traverse context many times. Preserve every change, contradiction, model touch, failure, recovery, and claim boundary as graph evidence.</w:t>
      </w:r>
    </w:p>
    <w:p>
      <w:pPr>
        <w:spacing w:after="60"/>
      </w:pPr>
      <w:r>
        <w:rPr>
          <w:b/>
          <w:color w:val="181818"/>
          <w:sz w:val="21"/>
        </w:rPr>
        <w:t>PAIN POINT → HYDRADB STRENGTH → HYDRADG EXTENSION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  <w:gridCol w:w="4819"/>
      </w:tblGrid>
      <w:tr>
        <w:tc>
          <w:tcPr>
            <w:tcW w:type="dxa" w:w="4819"/>
            <w:shd w:fill="18181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Pain point</w:t>
            </w:r>
          </w:p>
        </w:tc>
        <w:tc>
          <w:tcPr>
            <w:tcW w:type="dxa" w:w="4819"/>
            <w:shd w:fill="18181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HydraDB strength</w:t>
            </w:r>
          </w:p>
        </w:tc>
        <w:tc>
          <w:tcPr>
            <w:tcW w:type="dxa" w:w="4819"/>
            <w:shd w:fill="18181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HydraDG adds</w:t>
            </w:r>
          </w:p>
        </w:tc>
      </w:tr>
      <w:tr>
        <w:tc>
          <w:tcPr>
            <w:tcW w:type="dxa" w:w="481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Similarity ≠ relevance</w:t>
            </w:r>
          </w:p>
        </w:tc>
        <w:tc>
          <w:tcPr>
            <w:tcW w:type="dxa" w:w="481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Hybrid + graph + temporal retrieval</w:t>
            </w:r>
          </w:p>
        </w:tc>
        <w:tc>
          <w:tcPr>
            <w:tcW w:type="dxa" w:w="481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Exact identity, custody, claim-state and evidence-path traversal.</w:t>
            </w:r>
          </w:p>
        </w:tc>
      </w:tr>
      <w:tr>
        <w:tc>
          <w:tcPr>
            <w:tcW w:type="dxa" w:w="4819"/>
            <w:shd w:fill="F4F5F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Stale facts look like hallucinations</w:t>
            </w:r>
          </w:p>
        </w:tc>
        <w:tc>
          <w:tcPr>
            <w:tcW w:type="dxa" w:w="4819"/>
            <w:shd w:fill="F4F5F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Versioned temporal graph</w:t>
            </w:r>
          </w:p>
        </w:tc>
        <w:tc>
          <w:tcPr>
            <w:tcW w:type="dxa" w:w="4819"/>
            <w:shd w:fill="F4F5F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Reference → Poison → Antidote localizes first divergence and recovery.</w:t>
            </w:r>
          </w:p>
        </w:tc>
      </w:tr>
      <w:tr>
        <w:tc>
          <w:tcPr>
            <w:tcW w:type="dxa" w:w="481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Multi-session reasoning remains hard</w:t>
            </w:r>
          </w:p>
        </w:tc>
        <w:tc>
          <w:tcPr>
            <w:tcW w:type="dxa" w:w="481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Persistent cross-session context</w:t>
            </w:r>
          </w:p>
        </w:tc>
        <w:tc>
          <w:tcPr>
            <w:tcW w:type="dxa" w:w="481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Model/agent lineage: who introduced, inherited, corrected, or abstained.</w:t>
            </w:r>
          </w:p>
        </w:tc>
      </w:tr>
      <w:tr>
        <w:tc>
          <w:tcPr>
            <w:tcW w:type="dxa" w:w="4819"/>
            <w:shd w:fill="F4F5F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Context volume compounds cost</w:t>
            </w:r>
          </w:p>
        </w:tc>
        <w:tc>
          <w:tcPr>
            <w:tcW w:type="dxa" w:w="4819"/>
            <w:shd w:fill="F4F5F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Tiered storage; storage-based pricing</w:t>
            </w:r>
          </w:p>
        </w:tc>
        <w:tc>
          <w:tcPr>
            <w:tcW w:type="dxa" w:w="4819"/>
            <w:shd w:fill="F4F5F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65.730975% deterministic identity reuse; real byte/token/call savings measured separately.</w:t>
            </w:r>
          </w:p>
        </w:tc>
      </w:tr>
      <w:tr>
        <w:tc>
          <w:tcPr>
            <w:tcW w:type="dxa" w:w="481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Evaluation hides inconvenient failures</w:t>
            </w:r>
          </w:p>
        </w:tc>
        <w:tc>
          <w:tcPr>
            <w:tcW w:type="dxa" w:w="481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Benchmarkable structured context</w:t>
            </w:r>
          </w:p>
        </w:tc>
        <w:tc>
          <w:tcPr>
            <w:tcW w:type="dxa" w:w="481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Positive, null, negative, timeout, blocked and abstaining states retained under claim ceilings.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29"/>
        <w:gridCol w:w="7229"/>
      </w:tblGrid>
      <w:tr>
        <w:tc>
          <w:tcPr>
            <w:tcW w:type="dxa" w:w="7229"/>
            <w:tcMar>
              <w:top w:w="90" w:type="dxa"/>
              <w:start w:w="90" w:type="dxa"/>
              <w:bottom w:w="90" w:type="dxa"/>
              <w:end w:w="90" w:type="dxa"/>
            </w:tcMar>
            <w:shd w:fill="FCFBF4"/>
          </w:tcPr>
          <w:p>
            <w:r>
              <w:rPr>
                <w:b/>
                <w:color w:val="B08D57"/>
                <w:sz w:val="18"/>
              </w:rPr>
              <w:t>DEMONSTRATED NOW</w:t>
            </w:r>
          </w:p>
          <w:p>
            <w:pPr>
              <w:pStyle w:val="ListBullet"/>
              <w:spacing w:after="20"/>
            </w:pPr>
            <w:r>
              <w:rPr>
                <w:sz w:val="15"/>
              </w:rPr>
              <w:t>Golden Path: 01 Reference → 02 Poison → 03 Antidote → 04 HydraDB → 05 Results → 06 Evidence → 07 Future → 08 Claim.</w:t>
            </w:r>
          </w:p>
          <w:p>
            <w:pPr>
              <w:pStyle w:val="ListBullet"/>
              <w:spacing w:after="20"/>
            </w:pPr>
            <w:r>
              <w:rPr>
                <w:sz w:val="15"/>
              </w:rPr>
              <w:t>Hosted HydraDB: connectivity PASS; hydradg / hydradg-judge-demo; canary PASS_REQUEST_LEVEL. Full 653 FCO / 1,692 edge parity NOT_ESTABLISHED.</w:t>
            </w:r>
          </w:p>
          <w:p>
            <w:pPr>
              <w:pStyle w:val="ListBullet"/>
              <w:spacing w:after="20"/>
            </w:pPr>
            <w:r>
              <w:rPr>
                <w:sz w:val="15"/>
              </w:rPr>
              <w:t>LongMemEval-S full500 K=5: 500 cases; 470 retrieval-scored; 30 abstentions; B/C/D did not beat flat A.</w:t>
            </w:r>
          </w:p>
          <w:p>
            <w:pPr>
              <w:pStyle w:val="ListBullet"/>
              <w:spacing w:after="20"/>
            </w:pPr>
            <w:r>
              <w:rPr>
                <w:sz w:val="15"/>
              </w:rPr>
              <w:t>Identity accounting: 31,672,976 occurrences → 10,854,020 unique → 20,818,956 duplicates → 65.730975% reuse.</w:t>
            </w:r>
          </w:p>
          <w:p>
            <w:pPr>
              <w:pStyle w:val="ListBullet"/>
              <w:spacing w:after="20"/>
            </w:pPr>
            <w:r>
              <w:rPr>
                <w:sz w:val="15"/>
              </w:rPr>
              <w:t>Synthetic T0/T1/T2 scoring: G*, ΔG*, Cloud Drift; later lanes N/A when no distribution is frozen.</w:t>
            </w:r>
          </w:p>
          <w:p>
            <w:pPr>
              <w:pStyle w:val="ListBullet"/>
              <w:spacing w:after="20"/>
            </w:pPr>
            <w:r>
              <w:rPr>
                <w:sz w:val="15"/>
              </w:rPr>
              <w:t>Context-vs-Entropy: 18,555 / 18,567 classified; 12 abstentions; 99.9354% coverage; not a Gitleaks replacement.</w:t>
            </w:r>
          </w:p>
        </w:tc>
        <w:tc>
          <w:tcPr>
            <w:tcW w:type="dxa" w:w="7229"/>
            <w:tcMar>
              <w:top w:w="90" w:type="dxa"/>
              <w:start w:w="90" w:type="dxa"/>
              <w:bottom w:w="90" w:type="dxa"/>
              <w:end w:w="90" w:type="dxa"/>
            </w:tcMar>
            <w:shd w:fill="EEF3F5"/>
          </w:tcPr>
          <w:p>
            <w:r>
              <w:rPr>
                <w:b/>
                <w:color w:val="294C60"/>
                <w:sz w:val="18"/>
              </w:rPr>
              <w:t>ECONOMICS + WHAT WE ADD</w:t>
            </w:r>
          </w:p>
          <w:p>
            <w:pPr>
              <w:pStyle w:val="ListBullet"/>
              <w:spacing w:after="20"/>
            </w:pPr>
            <w:r>
              <w:rPr>
                <w:sz w:val="15"/>
              </w:rPr>
              <w:t>Observed canonical Parquet footprint: 1,101,473,790 B. This is NOT a measured byte-savings figure.</w:t>
            </w:r>
          </w:p>
          <w:p>
            <w:pPr>
              <w:pStyle w:val="ListBullet"/>
              <w:spacing w:after="20"/>
            </w:pPr>
            <w:r>
              <w:rPr>
                <w:sz w:val="15"/>
              </w:rPr>
              <w:t>7B duplicate-work abstraction: 2.91465384×10^17 theoretical FLOPs; 0.809626 Wh theoretical equivalent; NOT measured electrical energy.</w:t>
            </w:r>
          </w:p>
          <w:p>
            <w:pPr>
              <w:pStyle w:val="ListBullet"/>
              <w:spacing w:after="20"/>
            </w:pPr>
            <w:r>
              <w:rPr>
                <w:sz w:val="15"/>
              </w:rPr>
              <w:t>Next KPI: Cost per Correct Governed Answer = storage + retrieval + inference + recovery cost / correct governed answers.</w:t>
            </w:r>
          </w:p>
          <w:p>
            <w:pPr>
              <w:pStyle w:val="ListBullet"/>
              <w:spacing w:after="20"/>
            </w:pPr>
            <w:r>
              <w:rPr>
                <w:sz w:val="15"/>
              </w:rPr>
              <w:t>Multi-agent extension: score ErrorPropagationRate, FirstDivergenceAccuracy, RecoveryRate, evidence-path recovery, context tokens and avoided model calls.</w:t>
            </w:r>
          </w:p>
          <w:p>
            <w:pPr>
              <w:pStyle w:val="ListBullet"/>
              <w:spacing w:after="20"/>
            </w:pPr>
            <w:r>
              <w:rPr>
                <w:sz w:val="15"/>
              </w:rPr>
              <w:t>Anticube self/non-self × safe/unsafe classification is a governance signal, not an assumed ranking boost.</w:t>
            </w:r>
          </w:p>
          <w:p>
            <w:pPr>
              <w:pStyle w:val="ListBullet"/>
              <w:spacing w:after="20"/>
            </w:pPr>
            <w:r>
              <w:rPr>
                <w:sz w:val="15"/>
              </w:rPr>
              <w:t>Judge takeaway: HydraDG turns HydraDB-backed memory into a falsifiable custody system — what changed, when, which agent touched it, where error entered, whether recovery worked, and what the context cost.</w:t>
            </w:r>
          </w:p>
        </w:tc>
      </w:tr>
    </w:tbl>
    <w:p>
      <w:pPr>
        <w:spacing w:before="80" w:after="0"/>
      </w:pPr>
      <w:r>
        <w:rPr>
          <w:b/>
          <w:color w:val="7A1F1F"/>
          <w:sz w:val="15"/>
        </w:rPr>
        <w:t>CLAIM BOUNDARY: identity reuse ≠ byte savings · theoretical FLOPs/Wh ≠ measured energy · canary readback ≠ full hosted parity · SHA-256 ≠ correctness/signature · BEAM/multi-agent economics remain future until receipted.</w:t>
      </w:r>
    </w:p>
    <w:sectPr w:rsidR="00FC693F" w:rsidRPr="0006063C" w:rsidSect="00034616">
      <w:pgSz w:w="15840" w:h="12240" w:orient="landscape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