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Aptos Mono" w:hAnsi="Aptos Mono"/>
          <w:b/>
          <w:color w:val="B08D57"/>
          <w:sz w:val="17"/>
        </w:rPr>
        <w:t>HACK HYDRA 2026 · HYDRADG · UPDATED SUBMISSION PACKAGE</w:t>
      </w:r>
    </w:p>
    <w:p>
      <w:pPr>
        <w:pStyle w:val="Title"/>
        <w:spacing w:after="120"/>
      </w:pPr>
      <w:r>
        <w:t>HydraDG — Governed Memory on HydraDB</w:t>
      </w:r>
    </w:p>
    <w:p>
      <w:pPr>
        <w:spacing w:after="280"/>
      </w:pPr>
      <w:r>
        <w:rPr>
          <w:color w:val="666666"/>
          <w:sz w:val="25"/>
        </w:rPr>
        <w:t>Judge submission: value proposition, architecture, economics, scoring, evidence state, and next falsification experiments.</w:t>
      </w:r>
    </w:p>
    <w:tbl>
      <w:tblPr>
        <w:tblW w:type="auto" w:w="0"/>
        <w:jc w:val="center"/>
        <w:tblLook w:firstColumn="1" w:firstRow="1" w:lastColumn="0" w:lastRow="0" w:noHBand="0" w:noVBand="1" w:val="04A0"/>
      </w:tblPr>
      <w:tblGrid>
        <w:gridCol w:w="10080"/>
      </w:tblGrid>
      <w:tr>
        <w:tc>
          <w:tcPr>
            <w:tcW w:type="dxa" w:w="10080"/>
            <w:shd w:fill="F5EFE3"/>
            <w:tcMar>
              <w:top w:w="120" w:type="dxa"/>
              <w:start w:w="140" w:type="dxa"/>
              <w:bottom w:w="120" w:type="dxa"/>
              <w:end w:w="140" w:type="dxa"/>
            </w:tcMar>
          </w:tcPr>
          <w:p>
            <w:pPr>
              <w:spacing w:after="40"/>
            </w:pPr>
            <w:r>
              <w:rPr>
                <w:b/>
                <w:color w:val="B08D57"/>
                <w:sz w:val="17"/>
              </w:rPr>
              <w:t>ONE-SENTENCE PITCH</w:t>
            </w:r>
          </w:p>
          <w:p>
            <w:pPr>
              <w:spacing w:after="0"/>
            </w:pPr>
            <w:r>
              <w:rPr>
                <w:color w:val="181818"/>
                <w:sz w:val="22"/>
              </w:rPr>
              <w:t>HydraDB makes long-lived context stateful; HydraDG adds content-addressed custody, perturbation/recovery experiments, model/agent lineage, fail-closed claim governance, and reproducible economics around that context.</w:t>
            </w:r>
          </w:p>
        </w:tc>
      </w:tr>
    </w:tbl>
    <w:p>
      <w:pPr>
        <w:spacing w:after="0"/>
      </w:pPr>
    </w:p>
    <w:p>
      <w:pPr>
        <w:pStyle w:val="Heading1"/>
      </w:pPr>
      <w:r>
        <w:t>1. The problem we are solving</w:t>
      </w:r>
    </w:p>
    <w:p>
      <w:pPr>
        <w:pStyle w:val="ListBullet"/>
        <w:spacing w:after="50"/>
        <w:ind w:left="0"/>
      </w:pPr>
      <w:r>
        <w:t>Similarity can retrieve a semantically close fact that is stale, superseded, contradictory, or from the wrong session.</w:t>
      </w:r>
    </w:p>
    <w:p>
      <w:pPr>
        <w:pStyle w:val="ListBullet"/>
        <w:spacing w:after="50"/>
        <w:ind w:left="0"/>
      </w:pPr>
      <w:r>
        <w:t>Destructive updates hide how a state changed and make it difficult to diagnose whether an error came from retrieval, data mutation, a model, or a downstream agent.</w:t>
      </w:r>
    </w:p>
    <w:p>
      <w:pPr>
        <w:pStyle w:val="ListBullet"/>
        <w:spacing w:after="50"/>
        <w:ind w:left="0"/>
      </w:pPr>
      <w:r>
        <w:t>Long-running agents repeatedly ingest and reason over overlapping context, creating duplicated identities, context tokens, model calls, and hard-to-audit cost.</w:t>
      </w:r>
    </w:p>
    <w:p>
      <w:pPr>
        <w:pStyle w:val="ListBullet"/>
        <w:spacing w:after="50"/>
        <w:ind w:left="0"/>
      </w:pPr>
      <w:r>
        <w:t>Most benchmark summaries collapse success/failure into one score and discard inconvenient null, negative, timeout, blocked, or abstaining outcomes.</w:t>
      </w:r>
    </w:p>
    <w:tbl>
      <w:tblPr>
        <w:tblW w:type="auto" w:w="0"/>
        <w:jc w:val="center"/>
        <w:tblLook w:firstColumn="1" w:firstRow="1" w:lastColumn="0" w:lastRow="0" w:noHBand="0" w:noVBand="1" w:val="04A0"/>
      </w:tblPr>
      <w:tblGrid>
        <w:gridCol w:w="10080"/>
      </w:tblGrid>
      <w:tr>
        <w:tc>
          <w:tcPr>
            <w:tcW w:type="dxa" w:w="10080"/>
            <w:shd w:fill="F5EFE3"/>
            <w:tcMar>
              <w:top w:w="120" w:type="dxa"/>
              <w:start w:w="140" w:type="dxa"/>
              <w:bottom w:w="120" w:type="dxa"/>
              <w:end w:w="140" w:type="dxa"/>
            </w:tcMar>
          </w:tcPr>
          <w:p>
            <w:pPr>
              <w:spacing w:after="40"/>
            </w:pPr>
            <w:r>
              <w:rPr>
                <w:b/>
                <w:color w:val="B08D57"/>
                <w:sz w:val="17"/>
              </w:rPr>
              <w:t>HYDRADB CONTEXT</w:t>
            </w:r>
          </w:p>
          <w:p>
            <w:pPr>
              <w:spacing w:after="0"/>
            </w:pPr>
            <w:r>
              <w:rPr>
                <w:color w:val="181818"/>
                <w:sz w:val="22"/>
              </w:rPr>
              <w:t>HydraDB already attacks core memory failures with versioned temporal graphs, hybrid retrieval, entity resolution, multi-session context, and tiered storage. HydraDG is designed as a governance/evaluation layer that makes those state transitions and their downstream consequences auditable.</w:t>
            </w:r>
          </w:p>
        </w:tc>
      </w:tr>
    </w:tbl>
    <w:p>
      <w:pPr>
        <w:spacing w:after="0"/>
      </w:pPr>
    </w:p>
    <w:p>
      <w:r>
        <w:br w:type="page"/>
      </w:r>
    </w:p>
    <w:p>
      <w:pPr>
        <w:pStyle w:val="Heading1"/>
      </w:pPr>
      <w:r>
        <w:t>2. Pain point matrix: HydraDB strength + HydraDG extension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81818"/>
            <w:tcMar>
              <w:top w:w="80" w:type="dxa"/>
              <w:start w:w="100" w:type="dxa"/>
              <w:bottom w:w="80" w:type="dxa"/>
              <w:end w:w="100" w:type="dxa"/>
            </w:tcMar>
          </w:tcPr>
          <w:p>
            <w:r>
              <w:rPr>
                <w:b/>
                <w:color w:val="FFFFFF"/>
                <w:sz w:val="18"/>
              </w:rPr>
              <w:t>Operational pain</w:t>
            </w:r>
          </w:p>
        </w:tc>
        <w:tc>
          <w:tcPr>
            <w:tcW w:type="dxa" w:w="3360"/>
            <w:shd w:fill="181818"/>
            <w:tcMar>
              <w:top w:w="80" w:type="dxa"/>
              <w:start w:w="100" w:type="dxa"/>
              <w:bottom w:w="80" w:type="dxa"/>
              <w:end w:w="100" w:type="dxa"/>
            </w:tcMar>
          </w:tcPr>
          <w:p>
            <w:r>
              <w:rPr>
                <w:b/>
                <w:color w:val="FFFFFF"/>
                <w:sz w:val="18"/>
              </w:rPr>
              <w:t>HydraDB strength</w:t>
            </w:r>
          </w:p>
        </w:tc>
        <w:tc>
          <w:tcPr>
            <w:tcW w:type="dxa" w:w="3360"/>
            <w:shd w:fill="181818"/>
            <w:tcMar>
              <w:top w:w="80" w:type="dxa"/>
              <w:start w:w="100" w:type="dxa"/>
              <w:bottom w:w="80" w:type="dxa"/>
              <w:end w:w="100" w:type="dxa"/>
            </w:tcMar>
          </w:tcPr>
          <w:p>
            <w:r>
              <w:rPr>
                <w:b/>
                <w:color w:val="FFFFFF"/>
                <w:sz w:val="18"/>
              </w:rPr>
              <w:t>HydraDG extension</w:t>
            </w:r>
          </w:p>
        </w:tc>
      </w:tr>
      <w:tr>
        <w:tc>
          <w:tcPr>
            <w:tcW w:type="dxa" w:w="3360"/>
            <w:tcMar>
              <w:top w:w="80" w:type="dxa"/>
              <w:start w:w="100" w:type="dxa"/>
              <w:bottom w:w="80" w:type="dxa"/>
              <w:end w:w="100" w:type="dxa"/>
            </w:tcMar>
            <w:vAlign w:val="center"/>
          </w:tcPr>
          <w:p>
            <w:pPr>
              <w:spacing w:after="0"/>
            </w:pPr>
            <w:r>
              <w:rPr>
                <w:sz w:val="17"/>
              </w:rPr>
              <w:t>State confusion / stale fact served as current</w:t>
            </w:r>
          </w:p>
        </w:tc>
        <w:tc>
          <w:tcPr>
            <w:tcW w:type="dxa" w:w="3360"/>
            <w:tcMar>
              <w:top w:w="80" w:type="dxa"/>
              <w:start w:w="100" w:type="dxa"/>
              <w:bottom w:w="80" w:type="dxa"/>
              <w:end w:w="100" w:type="dxa"/>
            </w:tcMar>
            <w:vAlign w:val="center"/>
          </w:tcPr>
          <w:p>
            <w:pPr>
              <w:spacing w:after="0"/>
            </w:pPr>
            <w:r>
              <w:rPr>
                <w:sz w:val="17"/>
              </w:rPr>
              <w:t>Versioned temporal graph; valid-time awareness</w:t>
            </w:r>
          </w:p>
        </w:tc>
        <w:tc>
          <w:tcPr>
            <w:tcW w:type="dxa" w:w="3360"/>
            <w:tcMar>
              <w:top w:w="80" w:type="dxa"/>
              <w:start w:w="100" w:type="dxa"/>
              <w:bottom w:w="80" w:type="dxa"/>
              <w:end w:w="100" w:type="dxa"/>
            </w:tcMar>
            <w:vAlign w:val="center"/>
          </w:tcPr>
          <w:p>
            <w:pPr>
              <w:spacing w:after="0"/>
            </w:pPr>
            <w:r>
              <w:rPr>
                <w:sz w:val="17"/>
              </w:rPr>
              <w:t>Explicit CURRENT, CONTRADICTS, SUPERSEDED_BY, RESTORES edges; first-divergence localization.</w:t>
            </w:r>
          </w:p>
        </w:tc>
      </w:tr>
      <w:tr>
        <w:tc>
          <w:tcPr>
            <w:tcW w:type="dxa" w:w="3360"/>
            <w:shd w:fill="F4F5F6"/>
            <w:tcMar>
              <w:top w:w="80" w:type="dxa"/>
              <w:start w:w="100" w:type="dxa"/>
              <w:bottom w:w="80" w:type="dxa"/>
              <w:end w:w="100" w:type="dxa"/>
            </w:tcMar>
            <w:vAlign w:val="center"/>
          </w:tcPr>
          <w:p>
            <w:pPr>
              <w:spacing w:after="0"/>
            </w:pPr>
            <w:r>
              <w:rPr>
                <w:sz w:val="17"/>
              </w:rPr>
              <w:t>Similarity is not relevance</w:t>
            </w:r>
          </w:p>
        </w:tc>
        <w:tc>
          <w:tcPr>
            <w:tcW w:type="dxa" w:w="3360"/>
            <w:shd w:fill="F4F5F6"/>
            <w:tcMar>
              <w:top w:w="80" w:type="dxa"/>
              <w:start w:w="100" w:type="dxa"/>
              <w:bottom w:w="80" w:type="dxa"/>
              <w:end w:w="100" w:type="dxa"/>
            </w:tcMar>
            <w:vAlign w:val="center"/>
          </w:tcPr>
          <w:p>
            <w:pPr>
              <w:spacing w:after="0"/>
            </w:pPr>
            <w:r>
              <w:rPr>
                <w:sz w:val="17"/>
              </w:rPr>
              <w:t>Dense + sparse + graph + temporal retrieval</w:t>
            </w:r>
          </w:p>
        </w:tc>
        <w:tc>
          <w:tcPr>
            <w:tcW w:type="dxa" w:w="3360"/>
            <w:shd w:fill="F4F5F6"/>
            <w:tcMar>
              <w:top w:w="80" w:type="dxa"/>
              <w:start w:w="100" w:type="dxa"/>
              <w:bottom w:w="80" w:type="dxa"/>
              <w:end w:w="100" w:type="dxa"/>
            </w:tcMar>
            <w:vAlign w:val="center"/>
          </w:tcPr>
          <w:p>
            <w:pPr>
              <w:spacing w:after="0"/>
            </w:pPr>
            <w:r>
              <w:rPr>
                <w:sz w:val="17"/>
              </w:rPr>
              <w:t>Candidate evidence carries custody state, source identity, claim ceilings, abstention and provenance.</w:t>
            </w:r>
          </w:p>
        </w:tc>
      </w:tr>
      <w:tr>
        <w:tc>
          <w:tcPr>
            <w:tcW w:type="dxa" w:w="3360"/>
            <w:tcMar>
              <w:top w:w="80" w:type="dxa"/>
              <w:start w:w="100" w:type="dxa"/>
              <w:bottom w:w="80" w:type="dxa"/>
              <w:end w:w="100" w:type="dxa"/>
            </w:tcMar>
            <w:vAlign w:val="center"/>
          </w:tcPr>
          <w:p>
            <w:pPr>
              <w:spacing w:after="0"/>
            </w:pPr>
            <w:r>
              <w:rPr>
                <w:sz w:val="17"/>
              </w:rPr>
              <w:t>Cross-session / long-horizon reasoning</w:t>
            </w:r>
          </w:p>
        </w:tc>
        <w:tc>
          <w:tcPr>
            <w:tcW w:type="dxa" w:w="3360"/>
            <w:tcMar>
              <w:top w:w="80" w:type="dxa"/>
              <w:start w:w="100" w:type="dxa"/>
              <w:bottom w:w="80" w:type="dxa"/>
              <w:end w:w="100" w:type="dxa"/>
            </w:tcMar>
            <w:vAlign w:val="center"/>
          </w:tcPr>
          <w:p>
            <w:pPr>
              <w:spacing w:after="0"/>
            </w:pPr>
            <w:r>
              <w:rPr>
                <w:sz w:val="17"/>
              </w:rPr>
              <w:t>Persistent structured context across sessions</w:t>
            </w:r>
          </w:p>
        </w:tc>
        <w:tc>
          <w:tcPr>
            <w:tcW w:type="dxa" w:w="3360"/>
            <w:tcMar>
              <w:top w:w="80" w:type="dxa"/>
              <w:start w:w="100" w:type="dxa"/>
              <w:bottom w:w="80" w:type="dxa"/>
              <w:end w:w="100" w:type="dxa"/>
            </w:tcMar>
            <w:vAlign w:val="center"/>
          </w:tcPr>
          <w:p>
            <w:pPr>
              <w:spacing w:after="0"/>
            </w:pPr>
            <w:r>
              <w:rPr>
                <w:sz w:val="17"/>
              </w:rPr>
              <w:t>Session/model/agent touches become FCG participants; error inheritance and recovery can be scored.</w:t>
            </w:r>
          </w:p>
        </w:tc>
      </w:tr>
      <w:tr>
        <w:tc>
          <w:tcPr>
            <w:tcW w:type="dxa" w:w="3360"/>
            <w:shd w:fill="F4F5F6"/>
            <w:tcMar>
              <w:top w:w="80" w:type="dxa"/>
              <w:start w:w="100" w:type="dxa"/>
              <w:bottom w:w="80" w:type="dxa"/>
              <w:end w:w="100" w:type="dxa"/>
            </w:tcMar>
            <w:vAlign w:val="center"/>
          </w:tcPr>
          <w:p>
            <w:pPr>
              <w:spacing w:after="0"/>
            </w:pPr>
            <w:r>
              <w:rPr>
                <w:sz w:val="17"/>
              </w:rPr>
              <w:t>Duplicate memory records / repeated context</w:t>
            </w:r>
          </w:p>
        </w:tc>
        <w:tc>
          <w:tcPr>
            <w:tcW w:type="dxa" w:w="3360"/>
            <w:shd w:fill="F4F5F6"/>
            <w:tcMar>
              <w:top w:w="80" w:type="dxa"/>
              <w:start w:w="100" w:type="dxa"/>
              <w:bottom w:w="80" w:type="dxa"/>
              <w:end w:w="100" w:type="dxa"/>
            </w:tcMar>
            <w:vAlign w:val="center"/>
          </w:tcPr>
          <w:p>
            <w:pPr>
              <w:spacing w:after="0"/>
            </w:pPr>
            <w:r>
              <w:rPr>
                <w:sz w:val="17"/>
              </w:rPr>
              <w:t>Entity resolution; tiered storage</w:t>
            </w:r>
          </w:p>
        </w:tc>
        <w:tc>
          <w:tcPr>
            <w:tcW w:type="dxa" w:w="3360"/>
            <w:shd w:fill="F4F5F6"/>
            <w:tcMar>
              <w:top w:w="80" w:type="dxa"/>
              <w:start w:w="100" w:type="dxa"/>
              <w:bottom w:w="80" w:type="dxa"/>
              <w:end w:w="100" w:type="dxa"/>
            </w:tcMar>
            <w:vAlign w:val="center"/>
          </w:tcPr>
          <w:p>
            <w:pPr>
              <w:spacing w:after="0"/>
            </w:pPr>
            <w:r>
              <w:rPr>
                <w:sz w:val="17"/>
              </w:rPr>
              <w:t>Canonical content identity reused across contexts; deterministic occurrence/identity accounting.</w:t>
            </w:r>
          </w:p>
        </w:tc>
      </w:tr>
      <w:tr>
        <w:tc>
          <w:tcPr>
            <w:tcW w:type="dxa" w:w="3360"/>
            <w:tcMar>
              <w:top w:w="80" w:type="dxa"/>
              <w:start w:w="100" w:type="dxa"/>
              <w:bottom w:w="80" w:type="dxa"/>
              <w:end w:w="100" w:type="dxa"/>
            </w:tcMar>
            <w:vAlign w:val="center"/>
          </w:tcPr>
          <w:p>
            <w:pPr>
              <w:spacing w:after="0"/>
            </w:pPr>
            <w:r>
              <w:rPr>
                <w:sz w:val="17"/>
              </w:rPr>
              <w:t>Expensive AI operations on stale or bad context</w:t>
            </w:r>
          </w:p>
        </w:tc>
        <w:tc>
          <w:tcPr>
            <w:tcW w:type="dxa" w:w="3360"/>
            <w:tcMar>
              <w:top w:w="80" w:type="dxa"/>
              <w:start w:w="100" w:type="dxa"/>
              <w:bottom w:w="80" w:type="dxa"/>
              <w:end w:w="100" w:type="dxa"/>
            </w:tcMar>
            <w:vAlign w:val="center"/>
          </w:tcPr>
          <w:p>
            <w:pPr>
              <w:spacing w:after="0"/>
            </w:pPr>
            <w:r>
              <w:rPr>
                <w:sz w:val="17"/>
              </w:rPr>
              <w:t>Context layer can reduce dependence on raw model scale</w:t>
            </w:r>
          </w:p>
        </w:tc>
        <w:tc>
          <w:tcPr>
            <w:tcW w:type="dxa" w:w="3360"/>
            <w:tcMar>
              <w:top w:w="80" w:type="dxa"/>
              <w:start w:w="100" w:type="dxa"/>
              <w:bottom w:w="80" w:type="dxa"/>
              <w:end w:w="100" w:type="dxa"/>
            </w:tcMar>
            <w:vAlign w:val="center"/>
          </w:tcPr>
          <w:p>
            <w:pPr>
              <w:spacing w:after="0"/>
            </w:pPr>
            <w:r>
              <w:rPr>
                <w:sz w:val="17"/>
              </w:rPr>
              <w:t>Future avoided-call gate: stop downstream agents when a known-invalid or unresolved state should not propagate.</w:t>
            </w:r>
          </w:p>
        </w:tc>
      </w:tr>
      <w:tr>
        <w:tc>
          <w:tcPr>
            <w:tcW w:type="dxa" w:w="3360"/>
            <w:shd w:fill="F4F5F6"/>
            <w:tcMar>
              <w:top w:w="80" w:type="dxa"/>
              <w:start w:w="100" w:type="dxa"/>
              <w:bottom w:w="80" w:type="dxa"/>
              <w:end w:w="100" w:type="dxa"/>
            </w:tcMar>
            <w:vAlign w:val="center"/>
          </w:tcPr>
          <w:p>
            <w:pPr>
              <w:spacing w:after="0"/>
            </w:pPr>
            <w:r>
              <w:rPr>
                <w:sz w:val="17"/>
              </w:rPr>
              <w:t>Unauditable benchmark or release claims</w:t>
            </w:r>
          </w:p>
        </w:tc>
        <w:tc>
          <w:tcPr>
            <w:tcW w:type="dxa" w:w="3360"/>
            <w:shd w:fill="F4F5F6"/>
            <w:tcMar>
              <w:top w:w="80" w:type="dxa"/>
              <w:start w:w="100" w:type="dxa"/>
              <w:bottom w:w="80" w:type="dxa"/>
              <w:end w:w="100" w:type="dxa"/>
            </w:tcMar>
            <w:vAlign w:val="center"/>
          </w:tcPr>
          <w:p>
            <w:pPr>
              <w:spacing w:after="0"/>
            </w:pPr>
            <w:r>
              <w:rPr>
                <w:sz w:val="17"/>
              </w:rPr>
              <w:t>Reproducible benchmark surface</w:t>
            </w:r>
          </w:p>
        </w:tc>
        <w:tc>
          <w:tcPr>
            <w:tcW w:type="dxa" w:w="3360"/>
            <w:shd w:fill="F4F5F6"/>
            <w:tcMar>
              <w:top w:w="80" w:type="dxa"/>
              <w:start w:w="100" w:type="dxa"/>
              <w:bottom w:w="80" w:type="dxa"/>
              <w:end w:w="100" w:type="dxa"/>
            </w:tcMar>
            <w:vAlign w:val="center"/>
          </w:tcPr>
          <w:p>
            <w:pPr>
              <w:spacing w:after="0"/>
            </w:pPr>
            <w:r>
              <w:rPr>
                <w:sz w:val="17"/>
              </w:rPr>
              <w:t>FCO lineage, SHA-256 identities, evidence classes, claim ceilings, null/negative/failure retention.</w:t>
            </w:r>
          </w:p>
        </w:tc>
      </w:tr>
    </w:tbl>
    <w:p>
      <w:r>
        <w:br w:type="page"/>
      </w:r>
    </w:p>
    <w:p>
      <w:pPr>
        <w:pStyle w:val="Heading1"/>
      </w:pPr>
      <w:r>
        <w:t>3. Golden Path architecture</w:t>
      </w:r>
    </w:p>
    <w:tbl>
      <w:tblPr>
        <w:tblW w:type="auto" w:w="0"/>
        <w:jc w:val="center"/>
        <w:tblLook w:firstColumn="1" w:firstRow="1" w:lastColumn="0" w:lastRow="0" w:noHBand="0" w:noVBand="1" w:val="04A0"/>
      </w:tblPr>
      <w:tblGrid>
        <w:gridCol w:w="10080"/>
      </w:tblGrid>
      <w:tr>
        <w:tc>
          <w:tcPr>
            <w:tcW w:type="dxa" w:w="10080"/>
            <w:shd w:fill="F5EFE3"/>
            <w:tcMar>
              <w:top w:w="120" w:type="dxa"/>
              <w:start w:w="140" w:type="dxa"/>
              <w:bottom w:w="120" w:type="dxa"/>
              <w:end w:w="140" w:type="dxa"/>
            </w:tcMar>
          </w:tcPr>
          <w:p>
            <w:pPr>
              <w:spacing w:after="40"/>
            </w:pPr>
            <w:r>
              <w:rPr>
                <w:b/>
                <w:color w:val="B08D57"/>
                <w:sz w:val="17"/>
              </w:rPr>
              <w:t>8-STEP JUDGE FLOW</w:t>
            </w:r>
          </w:p>
          <w:p>
            <w:pPr>
              <w:spacing w:after="0"/>
            </w:pPr>
            <w:r>
              <w:rPr>
                <w:color w:val="181818"/>
                <w:sz w:val="22"/>
              </w:rPr>
              <w:t>01 Reference → 02 Poison → 03 Antidote → 04 Hosted HydraDB → 05 Historical Results → 06 Evidence/FCG → 07 Future Work → 08 Claim Boundary</w:t>
            </w:r>
          </w:p>
        </w:tc>
      </w:tr>
    </w:tbl>
    <w:p>
      <w:pPr>
        <w:spacing w:after="0"/>
      </w:pPr>
    </w:p>
    <w:p>
      <w:r>
        <w:rPr>
          <w:b/>
          <w:color w:val="B08D57"/>
        </w:rPr>
        <w:t xml:space="preserve">01 Reference — </w:t>
      </w:r>
      <w:r>
        <w:t>Declare the current valid state, source/session provenance, and content identity.</w:t>
      </w:r>
    </w:p>
    <w:p>
      <w:r>
        <w:rPr>
          <w:b/>
          <w:color w:val="B08D57"/>
        </w:rPr>
        <w:t xml:space="preserve">02 Poison — </w:t>
      </w:r>
      <w:r>
        <w:t>Inject a controlled conflicting state. Preserve predecessor identity and record the first divergent edge rather than overwriting history.</w:t>
      </w:r>
    </w:p>
    <w:p>
      <w:r>
        <w:rPr>
          <w:b/>
          <w:color w:val="B08D57"/>
        </w:rPr>
        <w:t xml:space="preserve">03 Antidote — </w:t>
      </w:r>
      <w:r>
        <w:t>Restore the valid state while keeping the poison and contradiction traversable.</w:t>
      </w:r>
    </w:p>
    <w:p>
      <w:r>
        <w:rPr>
          <w:b/>
          <w:color w:val="B08D57"/>
        </w:rPr>
        <w:t xml:space="preserve">04 HydraDB — </w:t>
      </w:r>
      <w:r>
        <w:t>Show live hosted connectivity and request-level canary traceability; do not conflate connectivity with full canonical parity.</w:t>
      </w:r>
    </w:p>
    <w:p>
      <w:r>
        <w:rPr>
          <w:b/>
          <w:color w:val="B08D57"/>
        </w:rPr>
        <w:t xml:space="preserve">05 Results — </w:t>
      </w:r>
      <w:r>
        <w:t>Show the historical full500 null/negative retrieval result and its claim ceiling.</w:t>
      </w:r>
    </w:p>
    <w:p>
      <w:r>
        <w:rPr>
          <w:b/>
          <w:color w:val="B08D57"/>
        </w:rPr>
        <w:t xml:space="preserve">06 Evidence — </w:t>
      </w:r>
      <w:r>
        <w:t>Traverse source → atom → seed → state → claim/release; show hashes establish identity, not correctness.</w:t>
      </w:r>
    </w:p>
    <w:p>
      <w:r>
        <w:rPr>
          <w:b/>
          <w:color w:val="B08D57"/>
        </w:rPr>
        <w:t xml:space="preserve">07 Future Work — </w:t>
      </w:r>
      <w:r>
        <w:t>Show BEAM 1M architecture and multi-agent/economics hypotheses as preregistered, not claimed results.</w:t>
      </w:r>
    </w:p>
    <w:p>
      <w:r>
        <w:rPr>
          <w:b/>
          <w:color w:val="B08D57"/>
        </w:rPr>
        <w:t xml:space="preserve">08 Claim Boundary — </w:t>
      </w:r>
      <w:r>
        <w:t>End on what is executed, deterministic, theoretical, future, blocked, or not established.</w:t>
      </w:r>
    </w:p>
    <w:p>
      <w:r>
        <w:br w:type="page"/>
      </w:r>
    </w:p>
    <w:p>
      <w:pPr>
        <w:pStyle w:val="Heading1"/>
      </w:pPr>
      <w:r>
        <w:t>4. Novel state and atom scoring stack</w:t>
      </w:r>
    </w:p>
    <w:tbl>
      <w:tblPr>
        <w:tblW w:type="auto" w:w="0"/>
        <w:jc w:val="center"/>
        <w:tblLook w:firstColumn="1" w:firstRow="1" w:lastColumn="0" w:lastRow="0" w:noHBand="0" w:noVBand="1" w:val="04A0"/>
      </w:tblPr>
      <w:tblGrid>
        <w:gridCol w:w="10080"/>
      </w:tblGrid>
      <w:tr>
        <w:tc>
          <w:tcPr>
            <w:tcW w:type="dxa" w:w="10080"/>
            <w:shd w:fill="F5EFE3"/>
            <w:tcMar>
              <w:top w:w="120" w:type="dxa"/>
              <w:start w:w="140" w:type="dxa"/>
              <w:bottom w:w="120" w:type="dxa"/>
              <w:end w:w="140" w:type="dxa"/>
            </w:tcMar>
          </w:tcPr>
          <w:p>
            <w:pPr>
              <w:spacing w:after="40"/>
            </w:pPr>
            <w:r>
              <w:rPr>
                <w:b/>
                <w:color w:val="B08D57"/>
                <w:sz w:val="17"/>
              </w:rPr>
              <w:t>DESIGN PRINCIPLE</w:t>
            </w:r>
          </w:p>
          <w:p>
            <w:pPr>
              <w:spacing w:after="0"/>
            </w:pPr>
            <w:r>
              <w:rPr>
                <w:color w:val="181818"/>
                <w:sz w:val="22"/>
              </w:rPr>
              <w:t>Do not force every lane into one scalar. Use the scoring family only where its inputs are declared; otherwise return N/A, abstain, or preserve the failure state.</w:t>
            </w:r>
          </w:p>
        </w:tc>
      </w:tr>
    </w:tbl>
    <w:p>
      <w:pPr>
        <w:spacing w:after="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81818"/>
            <w:tcMar>
              <w:top w:w="80" w:type="dxa"/>
              <w:start w:w="100" w:type="dxa"/>
              <w:bottom w:w="80" w:type="dxa"/>
              <w:end w:w="100" w:type="dxa"/>
            </w:tcMar>
          </w:tcPr>
          <w:p>
            <w:r>
              <w:rPr>
                <w:b/>
                <w:color w:val="FFFFFF"/>
                <w:sz w:val="18"/>
              </w:rPr>
              <w:t>Method</w:t>
            </w:r>
          </w:p>
        </w:tc>
        <w:tc>
          <w:tcPr>
            <w:tcW w:type="dxa" w:w="2520"/>
            <w:shd w:fill="181818"/>
            <w:tcMar>
              <w:top w:w="80" w:type="dxa"/>
              <w:start w:w="100" w:type="dxa"/>
              <w:bottom w:w="80" w:type="dxa"/>
              <w:end w:w="100" w:type="dxa"/>
            </w:tcMar>
          </w:tcPr>
          <w:p>
            <w:r>
              <w:rPr>
                <w:b/>
                <w:color w:val="FFFFFF"/>
                <w:sz w:val="18"/>
              </w:rPr>
              <w:t>Purpose</w:t>
            </w:r>
          </w:p>
        </w:tc>
        <w:tc>
          <w:tcPr>
            <w:tcW w:type="dxa" w:w="2520"/>
            <w:shd w:fill="181818"/>
            <w:tcMar>
              <w:top w:w="80" w:type="dxa"/>
              <w:start w:w="100" w:type="dxa"/>
              <w:bottom w:w="80" w:type="dxa"/>
              <w:end w:w="100" w:type="dxa"/>
            </w:tcMar>
          </w:tcPr>
          <w:p>
            <w:r>
              <w:rPr>
                <w:b/>
                <w:color w:val="FFFFFF"/>
                <w:sz w:val="18"/>
              </w:rPr>
              <w:t>Evidence state</w:t>
            </w:r>
          </w:p>
        </w:tc>
        <w:tc>
          <w:tcPr>
            <w:tcW w:type="dxa" w:w="2520"/>
            <w:shd w:fill="181818"/>
            <w:tcMar>
              <w:top w:w="80" w:type="dxa"/>
              <w:start w:w="100" w:type="dxa"/>
              <w:bottom w:w="80" w:type="dxa"/>
              <w:end w:w="100" w:type="dxa"/>
            </w:tcMar>
          </w:tcPr>
          <w:p>
            <w:r>
              <w:rPr>
                <w:b/>
                <w:color w:val="FFFFFF"/>
                <w:sz w:val="18"/>
              </w:rPr>
              <w:t>Current value / boundary</w:t>
            </w:r>
          </w:p>
        </w:tc>
      </w:tr>
      <w:tr>
        <w:tc>
          <w:tcPr>
            <w:tcW w:type="dxa" w:w="2520"/>
            <w:tcMar>
              <w:top w:w="80" w:type="dxa"/>
              <w:start w:w="100" w:type="dxa"/>
              <w:bottom w:w="80" w:type="dxa"/>
              <w:end w:w="100" w:type="dxa"/>
            </w:tcMar>
            <w:vAlign w:val="center"/>
          </w:tcPr>
          <w:p>
            <w:pPr>
              <w:spacing w:after="0"/>
            </w:pPr>
            <w:r>
              <w:rPr>
                <w:sz w:val="17"/>
              </w:rPr>
              <w:t>G*</w:t>
            </w:r>
          </w:p>
        </w:tc>
        <w:tc>
          <w:tcPr>
            <w:tcW w:type="dxa" w:w="2520"/>
            <w:tcMar>
              <w:top w:w="80" w:type="dxa"/>
              <w:start w:w="100" w:type="dxa"/>
              <w:bottom w:w="80" w:type="dxa"/>
              <w:end w:w="100" w:type="dxa"/>
            </w:tcMar>
            <w:vAlign w:val="center"/>
          </w:tcPr>
          <w:p>
            <w:pPr>
              <w:spacing w:after="0"/>
            </w:pPr>
            <w:r>
              <w:rPr>
                <w:sz w:val="17"/>
              </w:rPr>
              <w:t>Synthetic state score for a frozen declared distribution</w:t>
            </w:r>
          </w:p>
        </w:tc>
        <w:tc>
          <w:tcPr>
            <w:tcW w:type="dxa" w:w="2520"/>
            <w:tcMar>
              <w:top w:w="80" w:type="dxa"/>
              <w:start w:w="100" w:type="dxa"/>
              <w:bottom w:w="80" w:type="dxa"/>
              <w:end w:w="100" w:type="dxa"/>
            </w:tcMar>
            <w:vAlign w:val="center"/>
          </w:tcPr>
          <w:p>
            <w:pPr>
              <w:spacing w:after="0"/>
            </w:pPr>
            <w:r>
              <w:rPr>
                <w:sz w:val="17"/>
              </w:rPr>
              <w:t>T0/T1/T2 only</w:t>
            </w:r>
          </w:p>
        </w:tc>
        <w:tc>
          <w:tcPr>
            <w:tcW w:type="dxa" w:w="2520"/>
            <w:tcMar>
              <w:top w:w="80" w:type="dxa"/>
              <w:start w:w="100" w:type="dxa"/>
              <w:bottom w:w="80" w:type="dxa"/>
              <w:end w:w="100" w:type="dxa"/>
            </w:tcMar>
            <w:vAlign w:val="center"/>
          </w:tcPr>
          <w:p>
            <w:pPr>
              <w:spacing w:after="0"/>
            </w:pPr>
            <w:r>
              <w:rPr>
                <w:sz w:val="17"/>
              </w:rPr>
              <w:t>T0 -0.061230; T1 0.572956; T2 -0.027496</w:t>
            </w:r>
          </w:p>
        </w:tc>
      </w:tr>
      <w:tr>
        <w:tc>
          <w:tcPr>
            <w:tcW w:type="dxa" w:w="2520"/>
            <w:shd w:fill="F4F5F6"/>
            <w:tcMar>
              <w:top w:w="80" w:type="dxa"/>
              <w:start w:w="100" w:type="dxa"/>
              <w:bottom w:w="80" w:type="dxa"/>
              <w:end w:w="100" w:type="dxa"/>
            </w:tcMar>
            <w:vAlign w:val="center"/>
          </w:tcPr>
          <w:p>
            <w:pPr>
              <w:spacing w:after="0"/>
            </w:pPr>
            <w:r>
              <w:rPr>
                <w:sz w:val="17"/>
              </w:rPr>
              <w:t>ΔG*</w:t>
            </w:r>
          </w:p>
        </w:tc>
        <w:tc>
          <w:tcPr>
            <w:tcW w:type="dxa" w:w="2520"/>
            <w:shd w:fill="F4F5F6"/>
            <w:tcMar>
              <w:top w:w="80" w:type="dxa"/>
              <w:start w:w="100" w:type="dxa"/>
              <w:bottom w:w="80" w:type="dxa"/>
              <w:end w:w="100" w:type="dxa"/>
            </w:tcMar>
            <w:vAlign w:val="center"/>
          </w:tcPr>
          <w:p>
            <w:pPr>
              <w:spacing w:after="0"/>
            </w:pPr>
            <w:r>
              <w:rPr>
                <w:sz w:val="17"/>
              </w:rPr>
              <w:t>Change relative to the prior state</w:t>
            </w:r>
          </w:p>
        </w:tc>
        <w:tc>
          <w:tcPr>
            <w:tcW w:type="dxa" w:w="2520"/>
            <w:shd w:fill="F4F5F6"/>
            <w:tcMar>
              <w:top w:w="80" w:type="dxa"/>
              <w:start w:w="100" w:type="dxa"/>
              <w:bottom w:w="80" w:type="dxa"/>
              <w:end w:w="100" w:type="dxa"/>
            </w:tcMar>
            <w:vAlign w:val="center"/>
          </w:tcPr>
          <w:p>
            <w:pPr>
              <w:spacing w:after="0"/>
            </w:pPr>
            <w:r>
              <w:rPr>
                <w:sz w:val="17"/>
              </w:rPr>
              <w:t>T0/T1/T2 only</w:t>
            </w:r>
          </w:p>
        </w:tc>
        <w:tc>
          <w:tcPr>
            <w:tcW w:type="dxa" w:w="2520"/>
            <w:shd w:fill="F4F5F6"/>
            <w:tcMar>
              <w:top w:w="80" w:type="dxa"/>
              <w:start w:w="100" w:type="dxa"/>
              <w:bottom w:w="80" w:type="dxa"/>
              <w:end w:w="100" w:type="dxa"/>
            </w:tcMar>
            <w:vAlign w:val="center"/>
          </w:tcPr>
          <w:p>
            <w:pPr>
              <w:spacing w:after="0"/>
            </w:pPr>
            <w:r>
              <w:rPr>
                <w:sz w:val="17"/>
              </w:rPr>
              <w:t>T1 +0.634186; T2 -0.600452</w:t>
            </w:r>
          </w:p>
        </w:tc>
      </w:tr>
      <w:tr>
        <w:tc>
          <w:tcPr>
            <w:tcW w:type="dxa" w:w="2520"/>
            <w:tcMar>
              <w:top w:w="80" w:type="dxa"/>
              <w:start w:w="100" w:type="dxa"/>
              <w:bottom w:w="80" w:type="dxa"/>
              <w:end w:w="100" w:type="dxa"/>
            </w:tcMar>
            <w:vAlign w:val="center"/>
          </w:tcPr>
          <w:p>
            <w:pPr>
              <w:spacing w:after="0"/>
            </w:pPr>
            <w:r>
              <w:rPr>
                <w:sz w:val="17"/>
              </w:rPr>
              <w:t>Cloud Drift</w:t>
            </w:r>
          </w:p>
        </w:tc>
        <w:tc>
          <w:tcPr>
            <w:tcW w:type="dxa" w:w="2520"/>
            <w:tcMar>
              <w:top w:w="80" w:type="dxa"/>
              <w:start w:w="100" w:type="dxa"/>
              <w:bottom w:w="80" w:type="dxa"/>
              <w:end w:w="100" w:type="dxa"/>
            </w:tcMar>
            <w:vAlign w:val="center"/>
          </w:tcPr>
          <w:p>
            <w:pPr>
              <w:spacing w:after="0"/>
            </w:pPr>
            <w:r>
              <w:rPr>
                <w:sz w:val="17"/>
              </w:rPr>
              <w:t>100 × base-2 Jensen-Shannon divergence from frozen reference</w:t>
            </w:r>
          </w:p>
        </w:tc>
        <w:tc>
          <w:tcPr>
            <w:tcW w:type="dxa" w:w="2520"/>
            <w:tcMar>
              <w:top w:w="80" w:type="dxa"/>
              <w:start w:w="100" w:type="dxa"/>
              <w:bottom w:w="80" w:type="dxa"/>
              <w:end w:w="100" w:type="dxa"/>
            </w:tcMar>
            <w:vAlign w:val="center"/>
          </w:tcPr>
          <w:p>
            <w:pPr>
              <w:spacing w:after="0"/>
            </w:pPr>
            <w:r>
              <w:rPr>
                <w:sz w:val="17"/>
              </w:rPr>
              <w:t>T0/T1/T2 only</w:t>
            </w:r>
          </w:p>
        </w:tc>
        <w:tc>
          <w:tcPr>
            <w:tcW w:type="dxa" w:w="2520"/>
            <w:tcMar>
              <w:top w:w="80" w:type="dxa"/>
              <w:start w:w="100" w:type="dxa"/>
              <w:bottom w:w="80" w:type="dxa"/>
              <w:end w:w="100" w:type="dxa"/>
            </w:tcMar>
            <w:vAlign w:val="center"/>
          </w:tcPr>
          <w:p>
            <w:pPr>
              <w:spacing w:after="0"/>
            </w:pPr>
            <w:r>
              <w:rPr>
                <w:sz w:val="17"/>
              </w:rPr>
              <w:t>T0 0; T1 40.3629; T2 1.8729</w:t>
            </w:r>
          </w:p>
        </w:tc>
      </w:tr>
      <w:tr>
        <w:tc>
          <w:tcPr>
            <w:tcW w:type="dxa" w:w="2520"/>
            <w:shd w:fill="F4F5F6"/>
            <w:tcMar>
              <w:top w:w="80" w:type="dxa"/>
              <w:start w:w="100" w:type="dxa"/>
              <w:bottom w:w="80" w:type="dxa"/>
              <w:end w:w="100" w:type="dxa"/>
            </w:tcMar>
            <w:vAlign w:val="center"/>
          </w:tcPr>
          <w:p>
            <w:pPr>
              <w:spacing w:after="0"/>
            </w:pPr>
            <w:r>
              <w:rPr>
                <w:sz w:val="17"/>
              </w:rPr>
              <w:t>Context-vs-Entropy</w:t>
            </w:r>
          </w:p>
        </w:tc>
        <w:tc>
          <w:tcPr>
            <w:tcW w:type="dxa" w:w="2520"/>
            <w:shd w:fill="F4F5F6"/>
            <w:tcMar>
              <w:top w:w="80" w:type="dxa"/>
              <w:start w:w="100" w:type="dxa"/>
              <w:bottom w:w="80" w:type="dxa"/>
              <w:end w:w="100" w:type="dxa"/>
            </w:tcMar>
            <w:vAlign w:val="center"/>
          </w:tcPr>
          <w:p>
            <w:pPr>
              <w:spacing w:after="0"/>
            </w:pPr>
            <w:r>
              <w:rPr>
                <w:sz w:val="17"/>
              </w:rPr>
              <w:t>Second-stage classification of high-entropy secret-scan findings into contextual evidence classes</w:t>
            </w:r>
          </w:p>
        </w:tc>
        <w:tc>
          <w:tcPr>
            <w:tcW w:type="dxa" w:w="2520"/>
            <w:shd w:fill="F4F5F6"/>
            <w:tcMar>
              <w:top w:w="80" w:type="dxa"/>
              <w:start w:w="100" w:type="dxa"/>
              <w:bottom w:w="80" w:type="dxa"/>
              <w:end w:w="100" w:type="dxa"/>
            </w:tcMar>
            <w:vAlign w:val="center"/>
          </w:tcPr>
          <w:p>
            <w:pPr>
              <w:spacing w:after="0"/>
            </w:pPr>
            <w:r>
              <w:rPr>
                <w:sz w:val="17"/>
              </w:rPr>
              <w:t>Executed classification lane</w:t>
            </w:r>
          </w:p>
        </w:tc>
        <w:tc>
          <w:tcPr>
            <w:tcW w:type="dxa" w:w="2520"/>
            <w:shd w:fill="F4F5F6"/>
            <w:tcMar>
              <w:top w:w="80" w:type="dxa"/>
              <w:start w:w="100" w:type="dxa"/>
              <w:bottom w:w="80" w:type="dxa"/>
              <w:end w:w="100" w:type="dxa"/>
            </w:tcMar>
            <w:vAlign w:val="center"/>
          </w:tcPr>
          <w:p>
            <w:pPr>
              <w:spacing w:after="0"/>
            </w:pPr>
            <w:r>
              <w:rPr>
                <w:sz w:val="17"/>
              </w:rPr>
              <w:t>18,555 / 18,567 classified; 12 abstentions; 99.9354% coverage</w:t>
            </w:r>
          </w:p>
        </w:tc>
      </w:tr>
      <w:tr>
        <w:tc>
          <w:tcPr>
            <w:tcW w:type="dxa" w:w="2520"/>
            <w:tcMar>
              <w:top w:w="80" w:type="dxa"/>
              <w:start w:w="100" w:type="dxa"/>
              <w:bottom w:w="80" w:type="dxa"/>
              <w:end w:w="100" w:type="dxa"/>
            </w:tcMar>
            <w:vAlign w:val="center"/>
          </w:tcPr>
          <w:p>
            <w:pPr>
              <w:spacing w:after="0"/>
            </w:pPr>
            <w:r>
              <w:rPr>
                <w:sz w:val="17"/>
              </w:rPr>
              <w:t>Atom identity reuse</w:t>
            </w:r>
          </w:p>
        </w:tc>
        <w:tc>
          <w:tcPr>
            <w:tcW w:type="dxa" w:w="2520"/>
            <w:tcMar>
              <w:top w:w="80" w:type="dxa"/>
              <w:start w:w="100" w:type="dxa"/>
              <w:bottom w:w="80" w:type="dxa"/>
              <w:end w:w="100" w:type="dxa"/>
            </w:tcMar>
            <w:vAlign w:val="center"/>
          </w:tcPr>
          <w:p>
            <w:pPr>
              <w:spacing w:after="0"/>
            </w:pPr>
            <w:r>
              <w:rPr>
                <w:sz w:val="17"/>
              </w:rPr>
              <w:t>Exact accounting of repeated word/sentence keys</w:t>
            </w:r>
          </w:p>
        </w:tc>
        <w:tc>
          <w:tcPr>
            <w:tcW w:type="dxa" w:w="2520"/>
            <w:tcMar>
              <w:top w:w="80" w:type="dxa"/>
              <w:start w:w="100" w:type="dxa"/>
              <w:bottom w:w="80" w:type="dxa"/>
              <w:end w:w="100" w:type="dxa"/>
            </w:tcMar>
            <w:vAlign w:val="center"/>
          </w:tcPr>
          <w:p>
            <w:pPr>
              <w:spacing w:after="0"/>
            </w:pPr>
            <w:r>
              <w:rPr>
                <w:sz w:val="17"/>
              </w:rPr>
              <w:t>Deterministic retained accounting</w:t>
            </w:r>
          </w:p>
        </w:tc>
        <w:tc>
          <w:tcPr>
            <w:tcW w:type="dxa" w:w="2520"/>
            <w:tcMar>
              <w:top w:w="80" w:type="dxa"/>
              <w:start w:w="100" w:type="dxa"/>
              <w:bottom w:w="80" w:type="dxa"/>
              <w:end w:w="100" w:type="dxa"/>
            </w:tcMar>
            <w:vAlign w:val="center"/>
          </w:tcPr>
          <w:p>
            <w:pPr>
              <w:spacing w:after="0"/>
            </w:pPr>
            <w:r>
              <w:rPr>
                <w:sz w:val="17"/>
              </w:rPr>
              <w:t>65.730975% identity reuse</w:t>
            </w:r>
          </w:p>
        </w:tc>
      </w:tr>
      <w:tr>
        <w:tc>
          <w:tcPr>
            <w:tcW w:type="dxa" w:w="2520"/>
            <w:shd w:fill="F4F5F6"/>
            <w:tcMar>
              <w:top w:w="80" w:type="dxa"/>
              <w:start w:w="100" w:type="dxa"/>
              <w:bottom w:w="80" w:type="dxa"/>
              <w:end w:w="100" w:type="dxa"/>
            </w:tcMar>
            <w:vAlign w:val="center"/>
          </w:tcPr>
          <w:p>
            <w:pPr>
              <w:spacing w:after="0"/>
            </w:pPr>
            <w:r>
              <w:rPr>
                <w:sz w:val="17"/>
              </w:rPr>
              <w:t>Anticube governance</w:t>
            </w:r>
          </w:p>
        </w:tc>
        <w:tc>
          <w:tcPr>
            <w:tcW w:type="dxa" w:w="2520"/>
            <w:shd w:fill="F4F5F6"/>
            <w:tcMar>
              <w:top w:w="80" w:type="dxa"/>
              <w:start w:w="100" w:type="dxa"/>
              <w:bottom w:w="80" w:type="dxa"/>
              <w:end w:w="100" w:type="dxa"/>
            </w:tcMar>
            <w:vAlign w:val="center"/>
          </w:tcPr>
          <w:p>
            <w:pPr>
              <w:spacing w:after="0"/>
            </w:pPr>
            <w:r>
              <w:rPr>
                <w:sz w:val="17"/>
              </w:rPr>
              <w:t>Self/non-self × safe/unsafe classification of atoms/decisions</w:t>
            </w:r>
          </w:p>
        </w:tc>
        <w:tc>
          <w:tcPr>
            <w:tcW w:type="dxa" w:w="2520"/>
            <w:shd w:fill="F4F5F6"/>
            <w:tcMar>
              <w:top w:w="80" w:type="dxa"/>
              <w:start w:w="100" w:type="dxa"/>
              <w:bottom w:w="80" w:type="dxa"/>
              <w:end w:w="100" w:type="dxa"/>
            </w:tcMar>
            <w:vAlign w:val="center"/>
          </w:tcPr>
          <w:p>
            <w:pPr>
              <w:spacing w:after="0"/>
            </w:pPr>
            <w:r>
              <w:rPr>
                <w:sz w:val="17"/>
              </w:rPr>
              <w:t>Future/preregistered governance signal</w:t>
            </w:r>
          </w:p>
        </w:tc>
        <w:tc>
          <w:tcPr>
            <w:tcW w:type="dxa" w:w="2520"/>
            <w:shd w:fill="F4F5F6"/>
            <w:tcMar>
              <w:top w:w="80" w:type="dxa"/>
              <w:start w:w="100" w:type="dxa"/>
              <w:bottom w:w="80" w:type="dxa"/>
              <w:end w:w="100" w:type="dxa"/>
            </w:tcMar>
            <w:vAlign w:val="center"/>
          </w:tcPr>
          <w:p>
            <w:pPr>
              <w:spacing w:after="0"/>
            </w:pPr>
            <w:r>
              <w:rPr>
                <w:sz w:val="17"/>
              </w:rPr>
              <w:t>Not assumed to improve ranking; must be tested separately</w:t>
            </w:r>
          </w:p>
        </w:tc>
      </w:tr>
      <w:tr>
        <w:tc>
          <w:tcPr>
            <w:tcW w:type="dxa" w:w="2520"/>
            <w:tcMar>
              <w:top w:w="80" w:type="dxa"/>
              <w:start w:w="100" w:type="dxa"/>
              <w:bottom w:w="80" w:type="dxa"/>
              <w:end w:w="100" w:type="dxa"/>
            </w:tcMar>
            <w:vAlign w:val="center"/>
          </w:tcPr>
          <w:p>
            <w:pPr>
              <w:spacing w:after="0"/>
            </w:pPr>
            <w:r>
              <w:rPr>
                <w:sz w:val="17"/>
              </w:rPr>
              <w:t>FirstDivergenceAccuracy</w:t>
            </w:r>
          </w:p>
        </w:tc>
        <w:tc>
          <w:tcPr>
            <w:tcW w:type="dxa" w:w="2520"/>
            <w:tcMar>
              <w:top w:w="80" w:type="dxa"/>
              <w:start w:w="100" w:type="dxa"/>
              <w:bottom w:w="80" w:type="dxa"/>
              <w:end w:w="100" w:type="dxa"/>
            </w:tcMar>
            <w:vAlign w:val="center"/>
          </w:tcPr>
          <w:p>
            <w:pPr>
              <w:spacing w:after="0"/>
            </w:pPr>
            <w:r>
              <w:rPr>
                <w:sz w:val="17"/>
              </w:rPr>
              <w:t>Did the graph localize the earliest bad state/decision?</w:t>
            </w:r>
          </w:p>
        </w:tc>
        <w:tc>
          <w:tcPr>
            <w:tcW w:type="dxa" w:w="2520"/>
            <w:tcMar>
              <w:top w:w="80" w:type="dxa"/>
              <w:start w:w="100" w:type="dxa"/>
              <w:bottom w:w="80" w:type="dxa"/>
              <w:end w:w="100" w:type="dxa"/>
            </w:tcMar>
            <w:vAlign w:val="center"/>
          </w:tcPr>
          <w:p>
            <w:pPr>
              <w:spacing w:after="0"/>
            </w:pPr>
            <w:r>
              <w:rPr>
                <w:sz w:val="17"/>
              </w:rPr>
              <w:t>Future multi-agent perturbation metric</w:t>
            </w:r>
          </w:p>
        </w:tc>
        <w:tc>
          <w:tcPr>
            <w:tcW w:type="dxa" w:w="2520"/>
            <w:tcMar>
              <w:top w:w="80" w:type="dxa"/>
              <w:start w:w="100" w:type="dxa"/>
              <w:bottom w:w="80" w:type="dxa"/>
              <w:end w:w="100" w:type="dxa"/>
            </w:tcMar>
            <w:vAlign w:val="center"/>
          </w:tcPr>
          <w:p>
            <w:pPr>
              <w:spacing w:after="0"/>
            </w:pPr>
            <w:r>
              <w:rPr>
                <w:sz w:val="17"/>
              </w:rPr>
              <w:t>Preregistered</w:t>
            </w:r>
          </w:p>
        </w:tc>
      </w:tr>
      <w:tr>
        <w:tc>
          <w:tcPr>
            <w:tcW w:type="dxa" w:w="2520"/>
            <w:shd w:fill="F4F5F6"/>
            <w:tcMar>
              <w:top w:w="80" w:type="dxa"/>
              <w:start w:w="100" w:type="dxa"/>
              <w:bottom w:w="80" w:type="dxa"/>
              <w:end w:w="100" w:type="dxa"/>
            </w:tcMar>
            <w:vAlign w:val="center"/>
          </w:tcPr>
          <w:p>
            <w:pPr>
              <w:spacing w:after="0"/>
            </w:pPr>
            <w:r>
              <w:rPr>
                <w:sz w:val="17"/>
              </w:rPr>
              <w:t>RecoveryRate</w:t>
            </w:r>
          </w:p>
        </w:tc>
        <w:tc>
          <w:tcPr>
            <w:tcW w:type="dxa" w:w="2520"/>
            <w:shd w:fill="F4F5F6"/>
            <w:tcMar>
              <w:top w:w="80" w:type="dxa"/>
              <w:start w:w="100" w:type="dxa"/>
              <w:bottom w:w="80" w:type="dxa"/>
              <w:end w:w="100" w:type="dxa"/>
            </w:tcMar>
            <w:vAlign w:val="center"/>
          </w:tcPr>
          <w:p>
            <w:pPr>
              <w:spacing w:after="0"/>
            </w:pPr>
            <w:r>
              <w:rPr>
                <w:sz w:val="17"/>
              </w:rPr>
              <w:t>Did a poisoned chain return to the valid state?</w:t>
            </w:r>
          </w:p>
        </w:tc>
        <w:tc>
          <w:tcPr>
            <w:tcW w:type="dxa" w:w="2520"/>
            <w:shd w:fill="F4F5F6"/>
            <w:tcMar>
              <w:top w:w="80" w:type="dxa"/>
              <w:start w:w="100" w:type="dxa"/>
              <w:bottom w:w="80" w:type="dxa"/>
              <w:end w:w="100" w:type="dxa"/>
            </w:tcMar>
            <w:vAlign w:val="center"/>
          </w:tcPr>
          <w:p>
            <w:pPr>
              <w:spacing w:after="0"/>
            </w:pPr>
            <w:r>
              <w:rPr>
                <w:sz w:val="17"/>
              </w:rPr>
              <w:t>Future multi-agent perturbation metric</w:t>
            </w:r>
          </w:p>
        </w:tc>
        <w:tc>
          <w:tcPr>
            <w:tcW w:type="dxa" w:w="2520"/>
            <w:shd w:fill="F4F5F6"/>
            <w:tcMar>
              <w:top w:w="80" w:type="dxa"/>
              <w:start w:w="100" w:type="dxa"/>
              <w:bottom w:w="80" w:type="dxa"/>
              <w:end w:w="100" w:type="dxa"/>
            </w:tcMar>
            <w:vAlign w:val="center"/>
          </w:tcPr>
          <w:p>
            <w:pPr>
              <w:spacing w:after="0"/>
            </w:pPr>
            <w:r>
              <w:rPr>
                <w:sz w:val="17"/>
              </w:rPr>
              <w:t>Preregistered</w:t>
            </w:r>
          </w:p>
        </w:tc>
      </w:tr>
    </w:tbl>
    <w:p>
      <w:r>
        <w:br w:type="page"/>
      </w:r>
    </w:p>
    <w:p>
      <w:pPr>
        <w:pStyle w:val="Heading1"/>
      </w:pPr>
      <w:r>
        <w:t>5. Current evidence state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81818"/>
            <w:tcMar>
              <w:top w:w="80" w:type="dxa"/>
              <w:start w:w="100" w:type="dxa"/>
              <w:bottom w:w="80" w:type="dxa"/>
              <w:end w:w="100" w:type="dxa"/>
            </w:tcMar>
          </w:tcPr>
          <w:p>
            <w:r>
              <w:rPr>
                <w:b/>
                <w:color w:val="FFFFFF"/>
                <w:sz w:val="18"/>
              </w:rPr>
              <w:t>Evidence lane</w:t>
            </w:r>
          </w:p>
        </w:tc>
        <w:tc>
          <w:tcPr>
            <w:tcW w:type="dxa" w:w="2520"/>
            <w:shd w:fill="181818"/>
            <w:tcMar>
              <w:top w:w="80" w:type="dxa"/>
              <w:start w:w="100" w:type="dxa"/>
              <w:bottom w:w="80" w:type="dxa"/>
              <w:end w:w="100" w:type="dxa"/>
            </w:tcMar>
          </w:tcPr>
          <w:p>
            <w:r>
              <w:rPr>
                <w:b/>
                <w:color w:val="FFFFFF"/>
                <w:sz w:val="18"/>
              </w:rPr>
              <w:t>State</w:t>
            </w:r>
          </w:p>
        </w:tc>
        <w:tc>
          <w:tcPr>
            <w:tcW w:type="dxa" w:w="2520"/>
            <w:shd w:fill="181818"/>
            <w:tcMar>
              <w:top w:w="80" w:type="dxa"/>
              <w:start w:w="100" w:type="dxa"/>
              <w:bottom w:w="80" w:type="dxa"/>
              <w:end w:w="100" w:type="dxa"/>
            </w:tcMar>
          </w:tcPr>
          <w:p>
            <w:r>
              <w:rPr>
                <w:b/>
                <w:color w:val="FFFFFF"/>
                <w:sz w:val="18"/>
              </w:rPr>
              <w:t>What we can say</w:t>
            </w:r>
          </w:p>
        </w:tc>
        <w:tc>
          <w:tcPr>
            <w:tcW w:type="dxa" w:w="2520"/>
            <w:shd w:fill="181818"/>
            <w:tcMar>
              <w:top w:w="80" w:type="dxa"/>
              <w:start w:w="100" w:type="dxa"/>
              <w:bottom w:w="80" w:type="dxa"/>
              <w:end w:w="100" w:type="dxa"/>
            </w:tcMar>
          </w:tcPr>
          <w:p>
            <w:r>
              <w:rPr>
                <w:b/>
                <w:color w:val="FFFFFF"/>
                <w:sz w:val="18"/>
              </w:rPr>
              <w:t>Claim ceiling</w:t>
            </w:r>
          </w:p>
        </w:tc>
      </w:tr>
      <w:tr>
        <w:tc>
          <w:tcPr>
            <w:tcW w:type="dxa" w:w="2520"/>
            <w:tcMar>
              <w:top w:w="80" w:type="dxa"/>
              <w:start w:w="100" w:type="dxa"/>
              <w:bottom w:w="80" w:type="dxa"/>
              <w:end w:w="100" w:type="dxa"/>
            </w:tcMar>
            <w:vAlign w:val="center"/>
          </w:tcPr>
          <w:p>
            <w:pPr>
              <w:spacing w:after="0"/>
            </w:pPr>
            <w:r>
              <w:rPr>
                <w:sz w:val="17"/>
              </w:rPr>
              <w:t>Historical LongMemEval full500 K=5</w:t>
            </w:r>
          </w:p>
        </w:tc>
        <w:tc>
          <w:tcPr>
            <w:tcW w:type="dxa" w:w="2520"/>
            <w:tcMar>
              <w:top w:w="80" w:type="dxa"/>
              <w:start w:w="100" w:type="dxa"/>
              <w:bottom w:w="80" w:type="dxa"/>
              <w:end w:w="100" w:type="dxa"/>
            </w:tcMar>
            <w:vAlign w:val="center"/>
          </w:tcPr>
          <w:p>
            <w:pPr>
              <w:spacing w:after="0"/>
            </w:pPr>
            <w:r>
              <w:rPr>
                <w:sz w:val="17"/>
              </w:rPr>
              <w:t>EXECUTED</w:t>
            </w:r>
          </w:p>
        </w:tc>
        <w:tc>
          <w:tcPr>
            <w:tcW w:type="dxa" w:w="2520"/>
            <w:tcMar>
              <w:top w:w="80" w:type="dxa"/>
              <w:start w:w="100" w:type="dxa"/>
              <w:bottom w:w="80" w:type="dxa"/>
              <w:end w:w="100" w:type="dxa"/>
            </w:tcMar>
            <w:vAlign w:val="center"/>
          </w:tcPr>
          <w:p>
            <w:pPr>
              <w:spacing w:after="0"/>
            </w:pPr>
            <w:r>
              <w:rPr>
                <w:sz w:val="17"/>
              </w:rPr>
              <w:t>500 total; 470 retrieval-scored; 30 abstentions. Route A Hit@5 0.9638297872 / Recall@5 0.9065957447; B/C/D lower.</w:t>
            </w:r>
          </w:p>
        </w:tc>
        <w:tc>
          <w:tcPr>
            <w:tcW w:type="dxa" w:w="2520"/>
            <w:tcMar>
              <w:top w:w="80" w:type="dxa"/>
              <w:start w:w="100" w:type="dxa"/>
              <w:bottom w:w="80" w:type="dxa"/>
              <w:end w:w="100" w:type="dxa"/>
            </w:tcMar>
            <w:vAlign w:val="center"/>
          </w:tcPr>
          <w:p>
            <w:pPr>
              <w:spacing w:after="0"/>
            </w:pPr>
            <w:r>
              <w:rPr>
                <w:sz w:val="17"/>
              </w:rPr>
              <w:t>Retrieval ablation only; not end-to-end QA.</w:t>
            </w:r>
          </w:p>
        </w:tc>
      </w:tr>
      <w:tr>
        <w:tc>
          <w:tcPr>
            <w:tcW w:type="dxa" w:w="2520"/>
            <w:shd w:fill="F4F5F6"/>
            <w:tcMar>
              <w:top w:w="80" w:type="dxa"/>
              <w:start w:w="100" w:type="dxa"/>
              <w:bottom w:w="80" w:type="dxa"/>
              <w:end w:w="100" w:type="dxa"/>
            </w:tcMar>
            <w:vAlign w:val="center"/>
          </w:tcPr>
          <w:p>
            <w:pPr>
              <w:spacing w:after="0"/>
            </w:pPr>
            <w:r>
              <w:rPr>
                <w:sz w:val="17"/>
              </w:rPr>
              <w:t>Hosted HydraDB connectivity</w:t>
            </w:r>
          </w:p>
        </w:tc>
        <w:tc>
          <w:tcPr>
            <w:tcW w:type="dxa" w:w="2520"/>
            <w:shd w:fill="F4F5F6"/>
            <w:tcMar>
              <w:top w:w="80" w:type="dxa"/>
              <w:start w:w="100" w:type="dxa"/>
              <w:bottom w:w="80" w:type="dxa"/>
              <w:end w:w="100" w:type="dxa"/>
            </w:tcMar>
            <w:vAlign w:val="center"/>
          </w:tcPr>
          <w:p>
            <w:pPr>
              <w:spacing w:after="0"/>
            </w:pPr>
            <w:r>
              <w:rPr>
                <w:sz w:val="17"/>
              </w:rPr>
              <w:t>EXECUTED / OBSERVED</w:t>
            </w:r>
          </w:p>
        </w:tc>
        <w:tc>
          <w:tcPr>
            <w:tcW w:type="dxa" w:w="2520"/>
            <w:shd w:fill="F4F5F6"/>
            <w:tcMar>
              <w:top w:w="80" w:type="dxa"/>
              <w:start w:w="100" w:type="dxa"/>
              <w:bottom w:w="80" w:type="dxa"/>
              <w:end w:w="100" w:type="dxa"/>
            </w:tcMar>
            <w:vAlign w:val="center"/>
          </w:tcPr>
          <w:p>
            <w:pPr>
              <w:spacing w:after="0"/>
            </w:pPr>
            <w:r>
              <w:rPr>
                <w:sz w:val="17"/>
              </w:rPr>
              <w:t>Hosted API responds; hydradg + hydradg-judge-demo bound; canary relation request returns 200 with payload.</w:t>
            </w:r>
          </w:p>
        </w:tc>
        <w:tc>
          <w:tcPr>
            <w:tcW w:type="dxa" w:w="2520"/>
            <w:shd w:fill="F4F5F6"/>
            <w:tcMar>
              <w:top w:w="80" w:type="dxa"/>
              <w:start w:w="100" w:type="dxa"/>
              <w:bottom w:w="80" w:type="dxa"/>
              <w:end w:w="100" w:type="dxa"/>
            </w:tcMar>
            <w:vAlign w:val="center"/>
          </w:tcPr>
          <w:p>
            <w:pPr>
              <w:spacing w:after="0"/>
            </w:pPr>
            <w:r>
              <w:rPr>
                <w:sz w:val="17"/>
              </w:rPr>
              <w:t>PASS_REQUEST_LEVEL, not full canonical parity.</w:t>
            </w:r>
          </w:p>
        </w:tc>
      </w:tr>
      <w:tr>
        <w:tc>
          <w:tcPr>
            <w:tcW w:type="dxa" w:w="2520"/>
            <w:tcMar>
              <w:top w:w="80" w:type="dxa"/>
              <w:start w:w="100" w:type="dxa"/>
              <w:bottom w:w="80" w:type="dxa"/>
              <w:end w:w="100" w:type="dxa"/>
            </w:tcMar>
            <w:vAlign w:val="center"/>
          </w:tcPr>
          <w:p>
            <w:pPr>
              <w:spacing w:after="0"/>
            </w:pPr>
            <w:r>
              <w:rPr>
                <w:sz w:val="17"/>
              </w:rPr>
              <w:t>653 FCO / 1,692 edge hosted parity</w:t>
            </w:r>
          </w:p>
        </w:tc>
        <w:tc>
          <w:tcPr>
            <w:tcW w:type="dxa" w:w="2520"/>
            <w:tcMar>
              <w:top w:w="80" w:type="dxa"/>
              <w:start w:w="100" w:type="dxa"/>
              <w:bottom w:w="80" w:type="dxa"/>
              <w:end w:w="100" w:type="dxa"/>
            </w:tcMar>
            <w:vAlign w:val="center"/>
          </w:tcPr>
          <w:p>
            <w:pPr>
              <w:spacing w:after="0"/>
            </w:pPr>
            <w:r>
              <w:rPr>
                <w:sz w:val="17"/>
              </w:rPr>
              <w:t>NOT_ESTABLISHED</w:t>
            </w:r>
          </w:p>
        </w:tc>
        <w:tc>
          <w:tcPr>
            <w:tcW w:type="dxa" w:w="2520"/>
            <w:tcMar>
              <w:top w:w="80" w:type="dxa"/>
              <w:start w:w="100" w:type="dxa"/>
              <w:bottom w:w="80" w:type="dxa"/>
              <w:end w:w="100" w:type="dxa"/>
            </w:tcMar>
            <w:vAlign w:val="center"/>
          </w:tcPr>
          <w:p>
            <w:pPr>
              <w:spacing w:after="0"/>
            </w:pPr>
            <w:r>
              <w:rPr>
                <w:sz w:val="17"/>
              </w:rPr>
              <w:t>Target exists; full scoped readback/missing-extra/root comparison not yet complete.</w:t>
            </w:r>
          </w:p>
        </w:tc>
        <w:tc>
          <w:tcPr>
            <w:tcW w:type="dxa" w:w="2520"/>
            <w:tcMar>
              <w:top w:w="80" w:type="dxa"/>
              <w:start w:w="100" w:type="dxa"/>
              <w:bottom w:w="80" w:type="dxa"/>
              <w:end w:w="100" w:type="dxa"/>
            </w:tcMar>
            <w:vAlign w:val="center"/>
          </w:tcPr>
          <w:p>
            <w:pPr>
              <w:spacing w:after="0"/>
            </w:pPr>
            <w:r>
              <w:rPr>
                <w:sz w:val="17"/>
              </w:rPr>
              <w:t>Do not display PASS.</w:t>
            </w:r>
          </w:p>
        </w:tc>
      </w:tr>
      <w:tr>
        <w:tc>
          <w:tcPr>
            <w:tcW w:type="dxa" w:w="2520"/>
            <w:shd w:fill="F4F5F6"/>
            <w:tcMar>
              <w:top w:w="80" w:type="dxa"/>
              <w:start w:w="100" w:type="dxa"/>
              <w:bottom w:w="80" w:type="dxa"/>
              <w:end w:w="100" w:type="dxa"/>
            </w:tcMar>
            <w:vAlign w:val="center"/>
          </w:tcPr>
          <w:p>
            <w:pPr>
              <w:spacing w:after="0"/>
            </w:pPr>
            <w:r>
              <w:rPr>
                <w:sz w:val="17"/>
              </w:rPr>
              <w:t>Identity reuse accounting</w:t>
            </w:r>
          </w:p>
        </w:tc>
        <w:tc>
          <w:tcPr>
            <w:tcW w:type="dxa" w:w="2520"/>
            <w:shd w:fill="F4F5F6"/>
            <w:tcMar>
              <w:top w:w="80" w:type="dxa"/>
              <w:start w:w="100" w:type="dxa"/>
              <w:bottom w:w="80" w:type="dxa"/>
              <w:end w:w="100" w:type="dxa"/>
            </w:tcMar>
            <w:vAlign w:val="center"/>
          </w:tcPr>
          <w:p>
            <w:pPr>
              <w:spacing w:after="0"/>
            </w:pPr>
            <w:r>
              <w:rPr>
                <w:sz w:val="17"/>
              </w:rPr>
              <w:t>DETERMINISTIC</w:t>
            </w:r>
          </w:p>
        </w:tc>
        <w:tc>
          <w:tcPr>
            <w:tcW w:type="dxa" w:w="2520"/>
            <w:shd w:fill="F4F5F6"/>
            <w:tcMar>
              <w:top w:w="80" w:type="dxa"/>
              <w:start w:w="100" w:type="dxa"/>
              <w:bottom w:w="80" w:type="dxa"/>
              <w:end w:w="100" w:type="dxa"/>
            </w:tcMar>
            <w:vAlign w:val="center"/>
          </w:tcPr>
          <w:p>
            <w:pPr>
              <w:spacing w:after="0"/>
            </w:pPr>
            <w:r>
              <w:rPr>
                <w:sz w:val="17"/>
              </w:rPr>
              <w:t>31,672,976 occurrences; 10,854,020 unique; 20,818,956 duplicate occurrences.</w:t>
            </w:r>
          </w:p>
        </w:tc>
        <w:tc>
          <w:tcPr>
            <w:tcW w:type="dxa" w:w="2520"/>
            <w:shd w:fill="F4F5F6"/>
            <w:tcMar>
              <w:top w:w="80" w:type="dxa"/>
              <w:start w:w="100" w:type="dxa"/>
              <w:bottom w:w="80" w:type="dxa"/>
              <w:end w:w="100" w:type="dxa"/>
            </w:tcMar>
            <w:vAlign w:val="center"/>
          </w:tcPr>
          <w:p>
            <w:pPr>
              <w:spacing w:after="0"/>
            </w:pPr>
            <w:r>
              <w:rPr>
                <w:sz w:val="17"/>
              </w:rPr>
              <w:t>Units are word/sentence occurrence identities, not bytes or model tokens.</w:t>
            </w:r>
          </w:p>
        </w:tc>
      </w:tr>
      <w:tr>
        <w:tc>
          <w:tcPr>
            <w:tcW w:type="dxa" w:w="2520"/>
            <w:tcMar>
              <w:top w:w="80" w:type="dxa"/>
              <w:start w:w="100" w:type="dxa"/>
              <w:bottom w:w="80" w:type="dxa"/>
              <w:end w:w="100" w:type="dxa"/>
            </w:tcMar>
            <w:vAlign w:val="center"/>
          </w:tcPr>
          <w:p>
            <w:pPr>
              <w:spacing w:after="0"/>
            </w:pPr>
            <w:r>
              <w:rPr>
                <w:sz w:val="17"/>
              </w:rPr>
              <w:t>Whole-corpus byte savings</w:t>
            </w:r>
          </w:p>
        </w:tc>
        <w:tc>
          <w:tcPr>
            <w:tcW w:type="dxa" w:w="2520"/>
            <w:tcMar>
              <w:top w:w="80" w:type="dxa"/>
              <w:start w:w="100" w:type="dxa"/>
              <w:bottom w:w="80" w:type="dxa"/>
              <w:end w:w="100" w:type="dxa"/>
            </w:tcMar>
            <w:vAlign w:val="center"/>
          </w:tcPr>
          <w:p>
            <w:pPr>
              <w:spacing w:after="0"/>
            </w:pPr>
            <w:r>
              <w:rPr>
                <w:sz w:val="17"/>
              </w:rPr>
              <w:t>NOT_MEASURED</w:t>
            </w:r>
          </w:p>
        </w:tc>
        <w:tc>
          <w:tcPr>
            <w:tcW w:type="dxa" w:w="2520"/>
            <w:tcMar>
              <w:top w:w="80" w:type="dxa"/>
              <w:start w:w="100" w:type="dxa"/>
              <w:bottom w:w="80" w:type="dxa"/>
              <w:end w:w="100" w:type="dxa"/>
            </w:tcMar>
            <w:vAlign w:val="center"/>
          </w:tcPr>
          <w:p>
            <w:pPr>
              <w:spacing w:after="0"/>
            </w:pPr>
            <w:r>
              <w:rPr>
                <w:sz w:val="17"/>
              </w:rPr>
              <w:t>Need frozen {path,size_bytes,sha256} acquisition manifest.</w:t>
            </w:r>
          </w:p>
        </w:tc>
        <w:tc>
          <w:tcPr>
            <w:tcW w:type="dxa" w:w="2520"/>
            <w:tcMar>
              <w:top w:w="80" w:type="dxa"/>
              <w:start w:w="100" w:type="dxa"/>
              <w:bottom w:w="80" w:type="dxa"/>
              <w:end w:w="100" w:type="dxa"/>
            </w:tcMar>
            <w:vAlign w:val="center"/>
          </w:tcPr>
          <w:p>
            <w:pPr>
              <w:spacing w:after="0"/>
            </w:pPr>
            <w:r>
              <w:rPr>
                <w:sz w:val="17"/>
              </w:rPr>
              <w:t>No GB-saved claim.</w:t>
            </w:r>
          </w:p>
        </w:tc>
      </w:tr>
      <w:tr>
        <w:tc>
          <w:tcPr>
            <w:tcW w:type="dxa" w:w="2520"/>
            <w:shd w:fill="F4F5F6"/>
            <w:tcMar>
              <w:top w:w="80" w:type="dxa"/>
              <w:start w:w="100" w:type="dxa"/>
              <w:bottom w:w="80" w:type="dxa"/>
              <w:end w:w="100" w:type="dxa"/>
            </w:tcMar>
            <w:vAlign w:val="center"/>
          </w:tcPr>
          <w:p>
            <w:pPr>
              <w:spacing w:after="0"/>
            </w:pPr>
            <w:r>
              <w:rPr>
                <w:sz w:val="17"/>
              </w:rPr>
              <w:t>Energy savings</w:t>
            </w:r>
          </w:p>
        </w:tc>
        <w:tc>
          <w:tcPr>
            <w:tcW w:type="dxa" w:w="2520"/>
            <w:shd w:fill="F4F5F6"/>
            <w:tcMar>
              <w:top w:w="80" w:type="dxa"/>
              <w:start w:w="100" w:type="dxa"/>
              <w:bottom w:w="80" w:type="dxa"/>
              <w:end w:w="100" w:type="dxa"/>
            </w:tcMar>
            <w:vAlign w:val="center"/>
          </w:tcPr>
          <w:p>
            <w:pPr>
              <w:spacing w:after="0"/>
            </w:pPr>
            <w:r>
              <w:rPr>
                <w:sz w:val="17"/>
              </w:rPr>
              <w:t>THEORETICAL_ONLY</w:t>
            </w:r>
          </w:p>
        </w:tc>
        <w:tc>
          <w:tcPr>
            <w:tcW w:type="dxa" w:w="2520"/>
            <w:shd w:fill="F4F5F6"/>
            <w:tcMar>
              <w:top w:w="80" w:type="dxa"/>
              <w:start w:w="100" w:type="dxa"/>
              <w:bottom w:w="80" w:type="dxa"/>
              <w:end w:w="100" w:type="dxa"/>
            </w:tcMar>
            <w:vAlign w:val="center"/>
          </w:tcPr>
          <w:p>
            <w:pPr>
              <w:spacing w:after="0"/>
            </w:pPr>
            <w:r>
              <w:rPr>
                <w:sz w:val="17"/>
              </w:rPr>
              <w:t>7B scenario = 2.91465384×10^17 FLOPs; 0.809626 Wh equivalent under assumed efficiency.</w:t>
            </w:r>
          </w:p>
        </w:tc>
        <w:tc>
          <w:tcPr>
            <w:tcW w:type="dxa" w:w="2520"/>
            <w:shd w:fill="F4F5F6"/>
            <w:tcMar>
              <w:top w:w="80" w:type="dxa"/>
              <w:start w:w="100" w:type="dxa"/>
              <w:bottom w:w="80" w:type="dxa"/>
              <w:end w:w="100" w:type="dxa"/>
            </w:tcMar>
            <w:vAlign w:val="center"/>
          </w:tcPr>
          <w:p>
            <w:pPr>
              <w:spacing w:after="0"/>
            </w:pPr>
            <w:r>
              <w:rPr>
                <w:sz w:val="17"/>
              </w:rPr>
              <w:t>Not wall-power measurement.</w:t>
            </w:r>
          </w:p>
        </w:tc>
      </w:tr>
      <w:tr>
        <w:tc>
          <w:tcPr>
            <w:tcW w:type="dxa" w:w="2520"/>
            <w:tcMar>
              <w:top w:w="80" w:type="dxa"/>
              <w:start w:w="100" w:type="dxa"/>
              <w:bottom w:w="80" w:type="dxa"/>
              <w:end w:w="100" w:type="dxa"/>
            </w:tcMar>
            <w:vAlign w:val="center"/>
          </w:tcPr>
          <w:p>
            <w:pPr>
              <w:spacing w:after="0"/>
            </w:pPr>
            <w:r>
              <w:rPr>
                <w:sz w:val="17"/>
              </w:rPr>
              <w:t>Expanded model matrix</w:t>
            </w:r>
          </w:p>
        </w:tc>
        <w:tc>
          <w:tcPr>
            <w:tcW w:type="dxa" w:w="2520"/>
            <w:tcMar>
              <w:top w:w="80" w:type="dxa"/>
              <w:start w:w="100" w:type="dxa"/>
              <w:bottom w:w="80" w:type="dxa"/>
              <w:end w:w="100" w:type="dxa"/>
            </w:tcMar>
            <w:vAlign w:val="center"/>
          </w:tcPr>
          <w:p>
            <w:pPr>
              <w:spacing w:after="0"/>
            </w:pPr>
            <w:r>
              <w:rPr>
                <w:sz w:val="17"/>
              </w:rPr>
              <w:t>NOT_PROMOTED</w:t>
            </w:r>
          </w:p>
        </w:tc>
        <w:tc>
          <w:tcPr>
            <w:tcW w:type="dxa" w:w="2520"/>
            <w:tcMar>
              <w:top w:w="80" w:type="dxa"/>
              <w:start w:w="100" w:type="dxa"/>
              <w:bottom w:w="80" w:type="dxa"/>
              <w:end w:w="100" w:type="dxa"/>
            </w:tcMar>
            <w:vAlign w:val="center"/>
          </w:tcPr>
          <w:p>
            <w:pPr>
              <w:spacing w:after="0"/>
            </w:pPr>
            <w:r>
              <w:rPr>
                <w:sz w:val="17"/>
              </w:rPr>
              <w:t>Earlier development receipts/scores were inconsistent; only receipt-backed real execution can be promoted.</w:t>
            </w:r>
          </w:p>
        </w:tc>
        <w:tc>
          <w:tcPr>
            <w:tcW w:type="dxa" w:w="2520"/>
            <w:tcMar>
              <w:top w:w="80" w:type="dxa"/>
              <w:start w:w="100" w:type="dxa"/>
              <w:bottom w:w="80" w:type="dxa"/>
              <w:end w:w="100" w:type="dxa"/>
            </w:tcMar>
            <w:vAlign w:val="center"/>
          </w:tcPr>
          <w:p>
            <w:pPr>
              <w:spacing w:after="0"/>
            </w:pPr>
            <w:r>
              <w:rPr>
                <w:sz w:val="17"/>
              </w:rPr>
              <w:t>Fail closed.</w:t>
            </w:r>
          </w:p>
        </w:tc>
      </w:tr>
      <w:tr>
        <w:tc>
          <w:tcPr>
            <w:tcW w:type="dxa" w:w="2520"/>
            <w:shd w:fill="F4F5F6"/>
            <w:tcMar>
              <w:top w:w="80" w:type="dxa"/>
              <w:start w:w="100" w:type="dxa"/>
              <w:bottom w:w="80" w:type="dxa"/>
              <w:end w:w="100" w:type="dxa"/>
            </w:tcMar>
            <w:vAlign w:val="center"/>
          </w:tcPr>
          <w:p>
            <w:pPr>
              <w:spacing w:after="0"/>
            </w:pPr>
            <w:r>
              <w:rPr>
                <w:sz w:val="17"/>
              </w:rPr>
              <w:t>BEAM 1M HydraDG numbers</w:t>
            </w:r>
          </w:p>
        </w:tc>
        <w:tc>
          <w:tcPr>
            <w:tcW w:type="dxa" w:w="2520"/>
            <w:shd w:fill="F4F5F6"/>
            <w:tcMar>
              <w:top w:w="80" w:type="dxa"/>
              <w:start w:w="100" w:type="dxa"/>
              <w:bottom w:w="80" w:type="dxa"/>
              <w:end w:w="100" w:type="dxa"/>
            </w:tcMar>
            <w:vAlign w:val="center"/>
          </w:tcPr>
          <w:p>
            <w:pPr>
              <w:spacing w:after="0"/>
            </w:pPr>
            <w:r>
              <w:rPr>
                <w:sz w:val="17"/>
              </w:rPr>
              <w:t>NONE / FUTURE</w:t>
            </w:r>
          </w:p>
        </w:tc>
        <w:tc>
          <w:tcPr>
            <w:tcW w:type="dxa" w:w="2520"/>
            <w:shd w:fill="F4F5F6"/>
            <w:tcMar>
              <w:top w:w="80" w:type="dxa"/>
              <w:start w:w="100" w:type="dxa"/>
              <w:bottom w:w="80" w:type="dxa"/>
              <w:end w:w="100" w:type="dxa"/>
            </w:tcMar>
            <w:vAlign w:val="center"/>
          </w:tcPr>
          <w:p>
            <w:pPr>
              <w:spacing w:after="0"/>
            </w:pPr>
            <w:r>
              <w:rPr>
                <w:sz w:val="17"/>
              </w:rPr>
              <w:t>Official source identified; official rows must be revision-pinned and hashed before execution.</w:t>
            </w:r>
          </w:p>
        </w:tc>
        <w:tc>
          <w:tcPr>
            <w:tcW w:type="dxa" w:w="2520"/>
            <w:shd w:fill="F4F5F6"/>
            <w:tcMar>
              <w:top w:w="80" w:type="dxa"/>
              <w:start w:w="100" w:type="dxa"/>
              <w:bottom w:w="80" w:type="dxa"/>
              <w:end w:w="100" w:type="dxa"/>
            </w:tcMar>
            <w:vAlign w:val="center"/>
          </w:tcPr>
          <w:p>
            <w:pPr>
              <w:spacing w:after="0"/>
            </w:pPr>
            <w:r>
              <w:rPr>
                <w:sz w:val="17"/>
              </w:rPr>
              <w:t>No HydraDG BEAM score yet.</w:t>
            </w:r>
          </w:p>
        </w:tc>
      </w:tr>
    </w:tbl>
    <w:p>
      <w:r>
        <w:br w:type="page"/>
      </w:r>
    </w:p>
    <w:p>
      <w:pPr>
        <w:pStyle w:val="Heading1"/>
      </w:pPr>
      <w:r>
        <w:t>6. Economics: what can save money, and what still needs measurement</w:t>
      </w:r>
    </w:p>
    <w:tbl>
      <w:tblPr>
        <w:tblW w:type="auto" w:w="0"/>
        <w:jc w:val="center"/>
        <w:tblLook w:firstColumn="1" w:firstRow="1" w:lastColumn="0" w:lastRow="0" w:noHBand="0" w:noVBand="1" w:val="04A0"/>
      </w:tblPr>
      <w:tblGrid>
        <w:gridCol w:w="10080"/>
      </w:tblGrid>
      <w:tr>
        <w:tc>
          <w:tcPr>
            <w:tcW w:type="dxa" w:w="10080"/>
            <w:shd w:fill="F5EFE3"/>
            <w:tcMar>
              <w:top w:w="120" w:type="dxa"/>
              <w:start w:w="140" w:type="dxa"/>
              <w:bottom w:w="120" w:type="dxa"/>
              <w:end w:w="140" w:type="dxa"/>
            </w:tcMar>
          </w:tcPr>
          <w:p>
            <w:pPr>
              <w:spacing w:after="40"/>
            </w:pPr>
            <w:r>
              <w:rPr>
                <w:b/>
                <w:color w:val="B08D57"/>
                <w:sz w:val="17"/>
              </w:rPr>
              <w:t>WHY THIS MATTERS FOR HYDRADB</w:t>
            </w:r>
          </w:p>
          <w:p>
            <w:pPr>
              <w:spacing w:after="0"/>
            </w:pPr>
            <w:r>
              <w:rPr>
                <w:color w:val="181818"/>
                <w:sz w:val="22"/>
              </w:rPr>
              <w:t>HydraDB publicly uses storage-based pricing and tiered storage. Current public tiers include Surge at $25/month with 2 GB included and $0.50/GB storage overage, and Scale at $399/month with 10 GB included and $0.25/GB storage overage. Canonical identity reuse is therefore economically relevant, but HydraDG must measure actual serialized bytes, metadata/edge overhead, compression, tier residency, tokens, queries and downstream model calls before converting identity reuse into a bill-savings claim.</w:t>
            </w:r>
          </w:p>
        </w:tc>
      </w:tr>
    </w:tbl>
    <w:p>
      <w:pPr>
        <w:spacing w:after="0"/>
      </w:pPr>
    </w:p>
    <w:p>
      <w:pPr>
        <w:pStyle w:val="ListBullet"/>
        <w:spacing w:after="50"/>
        <w:ind w:left="0"/>
      </w:pPr>
      <w:r>
        <w:t>Identity reuse: 31,672,976 retained occurrences → 10,854,020 unique identities. The 65.730975% reuse rate is an upper-bound identity-elimination opportunity before graph-edge, metadata, compression and storage-tier overhead; it is not a 65.73% database bill reduction.</w:t>
      </w:r>
    </w:p>
    <w:p>
      <w:pPr>
        <w:pStyle w:val="ListBullet"/>
        <w:spacing w:after="50"/>
        <w:ind w:left="0"/>
      </w:pPr>
      <w:r>
        <w:t>Storage measurement to add: raw serialized bytes, canonical-object bytes, edge/metadata overhead, compressed bytes, and hot/warm/cold tier residency.</w:t>
      </w:r>
    </w:p>
    <w:p>
      <w:pPr>
        <w:pStyle w:val="ListBullet"/>
        <w:spacing w:after="50"/>
        <w:ind w:left="0"/>
      </w:pPr>
      <w:r>
        <w:t>Context measurement to add: prompt tokens before/after canonical evidence assembly, repeated evidence avoided, and context-to-answer ratio.</w:t>
      </w:r>
    </w:p>
    <w:p>
      <w:pPr>
        <w:pStyle w:val="ListBullet"/>
        <w:spacing w:after="50"/>
        <w:ind w:left="0"/>
      </w:pPr>
      <w:r>
        <w:t>Inference measurement to add: number of downstream calls blocked because an upstream atom/decision was invalid, superseded, unsupported, or abstained.</w:t>
      </w:r>
    </w:p>
    <w:p>
      <w:pPr>
        <w:pStyle w:val="ListBullet"/>
        <w:spacing w:after="50"/>
        <w:ind w:left="0"/>
      </w:pPr>
      <w:r>
        <w:t>Time abstraction: HydraDG separates semantic time (valid-time / commit-time and T0→T1→T2 perturbation chronology) from operational time. Future measurements should capture retrieval-stage latency, model wall time, recovery time, and avoided downstream wall time.</w:t>
      </w:r>
    </w:p>
    <w:p>
      <w:pPr>
        <w:pStyle w:val="ListBullet"/>
        <w:spacing w:after="50"/>
        <w:ind w:left="0"/>
      </w:pPr>
      <w:r>
        <w:t>Latency measurement to add: custody/graph overhead versus retrieval/answer accuracy and recovery quality.</w:t>
      </w:r>
    </w:p>
    <w:p>
      <w:pPr>
        <w:pStyle w:val="ListBullet"/>
        <w:spacing w:after="50"/>
        <w:ind w:left="0"/>
      </w:pPr>
      <w:r>
        <w:t>Business KPI: Cost per Correct Governed Answer = (storage + retrieval + inference + recovery) / correct final governed answers.</w:t>
      </w:r>
    </w:p>
    <w:p>
      <w:r>
        <w:br w:type="page"/>
      </w:r>
    </w:p>
    <w:p>
      <w:pPr>
        <w:pStyle w:val="Heading1"/>
      </w:pPr>
      <w:r>
        <w:t>7. Multi-session → multi-agent perturbation experiments</w:t>
      </w:r>
    </w:p>
    <w:tbl>
      <w:tblPr>
        <w:tblW w:type="auto" w:w="0"/>
        <w:jc w:val="center"/>
        <w:tblLook w:firstColumn="1" w:firstRow="1" w:lastColumn="0" w:lastRow="0" w:noHBand="0" w:noVBand="1" w:val="04A0"/>
      </w:tblPr>
      <w:tblGrid>
        <w:gridCol w:w="10080"/>
      </w:tblGrid>
      <w:tr>
        <w:tc>
          <w:tcPr>
            <w:tcW w:type="dxa" w:w="10080"/>
            <w:shd w:fill="F5EFE3"/>
            <w:tcMar>
              <w:top w:w="120" w:type="dxa"/>
              <w:start w:w="140" w:type="dxa"/>
              <w:bottom w:w="120" w:type="dxa"/>
              <w:end w:w="140" w:type="dxa"/>
            </w:tcMar>
          </w:tcPr>
          <w:p>
            <w:pPr>
              <w:spacing w:after="40"/>
            </w:pPr>
            <w:r>
              <w:rPr>
                <w:b/>
                <w:color w:val="B08D57"/>
                <w:sz w:val="17"/>
              </w:rPr>
              <w:t>RESEARCH OPPORTUNITY</w:t>
            </w:r>
          </w:p>
          <w:p>
            <w:pPr>
              <w:spacing w:after="0"/>
            </w:pPr>
            <w:r>
              <w:rPr>
                <w:color w:val="181818"/>
                <w:sz w:val="22"/>
              </w:rPr>
              <w:t>HydraDB already emphasizes agent traces, temporal versioning and multi-session memory. HydraDG turns the agents/models themselves into graph participants so failures become inspectable perturbations.</w:t>
            </w:r>
          </w:p>
        </w:tc>
      </w:tr>
    </w:tbl>
    <w:p>
      <w:pPr>
        <w:spacing w:after="0"/>
      </w:pPr>
    </w:p>
    <w:p>
      <w:pPr>
        <w:pStyle w:val="ListBullet"/>
        <w:spacing w:after="50"/>
        <w:ind w:left="0"/>
      </w:pPr>
      <w:r>
        <w:t>Agent chain: Retriever → Extractor → Reasoner → Decision Agent → Answer Agent.</w:t>
      </w:r>
    </w:p>
    <w:p>
      <w:pPr>
        <w:pStyle w:val="ListBullet"/>
        <w:spacing w:after="50"/>
        <w:ind w:left="0"/>
      </w:pPr>
      <w:r>
        <w:t>Every read/transform/decision creates or references an FCO; edges record READ_BY, PRODUCED, DERIVED_FROM, CONTRADICTS, SUPERSEDED_BY, RESTORES, USED_CONTEXT.</w:t>
      </w:r>
    </w:p>
    <w:p>
      <w:pPr>
        <w:pStyle w:val="ListBullet"/>
        <w:spacing w:after="50"/>
        <w:ind w:left="0"/>
      </w:pPr>
      <w:r>
        <w:t>Controlled poisons: wrong extraction, stale state, contradiction, provenance loss, and inherited bad agent decision.</w:t>
      </w:r>
    </w:p>
    <w:p>
      <w:pPr>
        <w:pStyle w:val="ListBullet"/>
        <w:spacing w:after="50"/>
        <w:ind w:left="0"/>
      </w:pPr>
      <w:r>
        <w:t>Primary metrics: ErrorPropagationRate, FirstDivergenceAccuracy, RecoveryRate.</w:t>
      </w:r>
    </w:p>
    <w:p>
      <w:pPr>
        <w:pStyle w:val="ListBullet"/>
        <w:spacing w:after="50"/>
        <w:ind w:left="0"/>
      </w:pPr>
      <w:r>
        <w:t>Guardrails: temporal reasoning, event ordering, multi-session reasoning, current-state accuracy, historical-state retention, complete evidence-path recovery.</w:t>
      </w:r>
    </w:p>
    <w:p>
      <w:pPr>
        <w:pStyle w:val="ListBullet"/>
        <w:spacing w:after="50"/>
        <w:ind w:left="0"/>
      </w:pPr>
      <w:r>
        <w:t>Economic co-metrics: context tokens, inference calls, bytes, latency, and cost per correct governed answer.</w:t>
      </w:r>
    </w:p>
    <w:p>
      <w:r>
        <w:br w:type="page"/>
      </w:r>
    </w:p>
    <w:p>
      <w:pPr>
        <w:pStyle w:val="Heading1"/>
      </w:pPr>
      <w:r>
        <w:t>8. What we were missing - and should emphasize to judges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81818"/>
            <w:tcMar>
              <w:top w:w="80" w:type="dxa"/>
              <w:start w:w="100" w:type="dxa"/>
              <w:bottom w:w="80" w:type="dxa"/>
              <w:end w:w="100" w:type="dxa"/>
            </w:tcMar>
          </w:tcPr>
          <w:p>
            <w:r>
              <w:rPr>
                <w:b/>
                <w:color w:val="FFFFFF"/>
                <w:sz w:val="18"/>
              </w:rPr>
              <w:t>Missing emphasis</w:t>
            </w:r>
          </w:p>
        </w:tc>
        <w:tc>
          <w:tcPr>
            <w:tcW w:type="dxa" w:w="5040"/>
            <w:shd w:fill="181818"/>
            <w:tcMar>
              <w:top w:w="80" w:type="dxa"/>
              <w:start w:w="100" w:type="dxa"/>
              <w:bottom w:w="80" w:type="dxa"/>
              <w:end w:w="100" w:type="dxa"/>
            </w:tcMar>
          </w:tcPr>
          <w:p>
            <w:r>
              <w:rPr>
                <w:b/>
                <w:color w:val="FFFFFF"/>
                <w:sz w:val="18"/>
              </w:rPr>
              <w:t>Why it matters</w:t>
            </w:r>
          </w:p>
        </w:tc>
      </w:tr>
      <w:tr>
        <w:tc>
          <w:tcPr>
            <w:tcW w:type="dxa" w:w="5040"/>
            <w:tcMar>
              <w:top w:w="80" w:type="dxa"/>
              <w:start w:w="100" w:type="dxa"/>
              <w:bottom w:w="80" w:type="dxa"/>
              <w:end w:w="100" w:type="dxa"/>
            </w:tcMar>
            <w:vAlign w:val="center"/>
          </w:tcPr>
          <w:p>
            <w:pPr>
              <w:spacing w:after="0"/>
            </w:pPr>
            <w:r>
              <w:rPr>
                <w:sz w:val="17"/>
              </w:rPr>
              <w:t>Failure localization, not just retrieval accuracy</w:t>
            </w:r>
          </w:p>
        </w:tc>
        <w:tc>
          <w:tcPr>
            <w:tcW w:type="dxa" w:w="5040"/>
            <w:tcMar>
              <w:top w:w="80" w:type="dxa"/>
              <w:start w:w="100" w:type="dxa"/>
              <w:bottom w:w="80" w:type="dxa"/>
              <w:end w:w="100" w:type="dxa"/>
            </w:tcMar>
            <w:vAlign w:val="center"/>
          </w:tcPr>
          <w:p>
            <w:pPr>
              <w:spacing w:after="0"/>
            </w:pPr>
            <w:r>
              <w:rPr>
                <w:sz w:val="17"/>
              </w:rPr>
              <w:t>HydraDG should be judged on whether it can point to the first bad edge/model decision and show how the error propagated.</w:t>
            </w:r>
          </w:p>
        </w:tc>
      </w:tr>
      <w:tr>
        <w:tc>
          <w:tcPr>
            <w:tcW w:type="dxa" w:w="5040"/>
            <w:shd w:fill="F4F5F6"/>
            <w:tcMar>
              <w:top w:w="80" w:type="dxa"/>
              <w:start w:w="100" w:type="dxa"/>
              <w:bottom w:w="80" w:type="dxa"/>
              <w:end w:w="100" w:type="dxa"/>
            </w:tcMar>
            <w:vAlign w:val="center"/>
          </w:tcPr>
          <w:p>
            <w:pPr>
              <w:spacing w:after="0"/>
            </w:pPr>
            <w:r>
              <w:rPr>
                <w:sz w:val="17"/>
              </w:rPr>
              <w:t>Recovery quality</w:t>
            </w:r>
          </w:p>
        </w:tc>
        <w:tc>
          <w:tcPr>
            <w:tcW w:type="dxa" w:w="5040"/>
            <w:shd w:fill="F4F5F6"/>
            <w:tcMar>
              <w:top w:w="80" w:type="dxa"/>
              <w:start w:w="100" w:type="dxa"/>
              <w:bottom w:w="80" w:type="dxa"/>
              <w:end w:w="100" w:type="dxa"/>
            </w:tcMar>
            <w:vAlign w:val="center"/>
          </w:tcPr>
          <w:p>
            <w:pPr>
              <w:spacing w:after="0"/>
            </w:pPr>
            <w:r>
              <w:rPr>
                <w:sz w:val="17"/>
              </w:rPr>
              <w:t>The Antidote is not just another answer; it is a measurable restoration path that retains the poison as historical evidence.</w:t>
            </w:r>
          </w:p>
        </w:tc>
      </w:tr>
      <w:tr>
        <w:tc>
          <w:tcPr>
            <w:tcW w:type="dxa" w:w="5040"/>
            <w:tcMar>
              <w:top w:w="80" w:type="dxa"/>
              <w:start w:w="100" w:type="dxa"/>
              <w:bottom w:w="80" w:type="dxa"/>
              <w:end w:w="100" w:type="dxa"/>
            </w:tcMar>
            <w:vAlign w:val="center"/>
          </w:tcPr>
          <w:p>
            <w:pPr>
              <w:spacing w:after="0"/>
            </w:pPr>
            <w:r>
              <w:rPr>
                <w:sz w:val="17"/>
              </w:rPr>
              <w:t>Cost of bad context</w:t>
            </w:r>
          </w:p>
        </w:tc>
        <w:tc>
          <w:tcPr>
            <w:tcW w:type="dxa" w:w="5040"/>
            <w:tcMar>
              <w:top w:w="80" w:type="dxa"/>
              <w:start w:w="100" w:type="dxa"/>
              <w:bottom w:w="80" w:type="dxa"/>
              <w:end w:w="100" w:type="dxa"/>
            </w:tcMar>
            <w:vAlign w:val="center"/>
          </w:tcPr>
          <w:p>
            <w:pPr>
              <w:spacing w:after="0"/>
            </w:pPr>
            <w:r>
              <w:rPr>
                <w:sz w:val="17"/>
              </w:rPr>
              <w:t>A wrong state can trigger multiple expensive downstream calls. Preventing inherited error is an economic as well as quality metric.</w:t>
            </w:r>
          </w:p>
        </w:tc>
      </w:tr>
      <w:tr>
        <w:tc>
          <w:tcPr>
            <w:tcW w:type="dxa" w:w="5040"/>
            <w:shd w:fill="F4F5F6"/>
            <w:tcMar>
              <w:top w:w="80" w:type="dxa"/>
              <w:start w:w="100" w:type="dxa"/>
              <w:bottom w:w="80" w:type="dxa"/>
              <w:end w:w="100" w:type="dxa"/>
            </w:tcMar>
            <w:vAlign w:val="center"/>
          </w:tcPr>
          <w:p>
            <w:pPr>
              <w:spacing w:after="0"/>
            </w:pPr>
            <w:r>
              <w:rPr>
                <w:sz w:val="17"/>
              </w:rPr>
              <w:t>Canonical identity vs byte savings</w:t>
            </w:r>
          </w:p>
        </w:tc>
        <w:tc>
          <w:tcPr>
            <w:tcW w:type="dxa" w:w="5040"/>
            <w:shd w:fill="F4F5F6"/>
            <w:tcMar>
              <w:top w:w="80" w:type="dxa"/>
              <w:start w:w="100" w:type="dxa"/>
              <w:bottom w:w="80" w:type="dxa"/>
              <w:end w:w="100" w:type="dxa"/>
            </w:tcMar>
            <w:vAlign w:val="center"/>
          </w:tcPr>
          <w:p>
            <w:pPr>
              <w:spacing w:after="0"/>
            </w:pPr>
            <w:r>
              <w:rPr>
                <w:sz w:val="17"/>
              </w:rPr>
              <w:t>Identity reuse is strong current evidence; storage-byte savings is the next measurement and should be labeled separately.</w:t>
            </w:r>
          </w:p>
        </w:tc>
      </w:tr>
      <w:tr>
        <w:tc>
          <w:tcPr>
            <w:tcW w:type="dxa" w:w="5040"/>
            <w:tcMar>
              <w:top w:w="80" w:type="dxa"/>
              <w:start w:w="100" w:type="dxa"/>
              <w:bottom w:w="80" w:type="dxa"/>
              <w:end w:w="100" w:type="dxa"/>
            </w:tcMar>
            <w:vAlign w:val="center"/>
          </w:tcPr>
          <w:p>
            <w:pPr>
              <w:spacing w:after="0"/>
            </w:pPr>
            <w:r>
              <w:rPr>
                <w:sz w:val="17"/>
              </w:rPr>
              <w:t>Model/agent accountability</w:t>
            </w:r>
          </w:p>
        </w:tc>
        <w:tc>
          <w:tcPr>
            <w:tcW w:type="dxa" w:w="5040"/>
            <w:tcMar>
              <w:top w:w="80" w:type="dxa"/>
              <w:start w:w="100" w:type="dxa"/>
              <w:bottom w:w="80" w:type="dxa"/>
              <w:end w:w="100" w:type="dxa"/>
            </w:tcMar>
            <w:vAlign w:val="center"/>
          </w:tcPr>
          <w:p>
            <w:pPr>
              <w:spacing w:after="0"/>
            </w:pPr>
            <w:r>
              <w:rPr>
                <w:sz w:val="17"/>
              </w:rPr>
              <w:t>Record which model/version/config touched each object. A model can be an evidence-producing transformation, not an opaque black box.</w:t>
            </w:r>
          </w:p>
        </w:tc>
      </w:tr>
      <w:tr>
        <w:tc>
          <w:tcPr>
            <w:tcW w:type="dxa" w:w="5040"/>
            <w:shd w:fill="F4F5F6"/>
            <w:tcMar>
              <w:top w:w="80" w:type="dxa"/>
              <w:start w:w="100" w:type="dxa"/>
              <w:bottom w:w="80" w:type="dxa"/>
              <w:end w:w="100" w:type="dxa"/>
            </w:tcMar>
            <w:vAlign w:val="center"/>
          </w:tcPr>
          <w:p>
            <w:pPr>
              <w:spacing w:after="0"/>
            </w:pPr>
            <w:r>
              <w:rPr>
                <w:sz w:val="17"/>
              </w:rPr>
              <w:t>Abstention as a success mode</w:t>
            </w:r>
          </w:p>
        </w:tc>
        <w:tc>
          <w:tcPr>
            <w:tcW w:type="dxa" w:w="5040"/>
            <w:shd w:fill="F4F5F6"/>
            <w:tcMar>
              <w:top w:w="80" w:type="dxa"/>
              <w:start w:w="100" w:type="dxa"/>
              <w:bottom w:w="80" w:type="dxa"/>
              <w:end w:w="100" w:type="dxa"/>
            </w:tcMar>
            <w:vAlign w:val="center"/>
          </w:tcPr>
          <w:p>
            <w:pPr>
              <w:spacing w:after="0"/>
            </w:pPr>
            <w:r>
              <w:rPr>
                <w:sz w:val="17"/>
              </w:rPr>
              <w:t>A governed memory layer should prefer abstention/blocked state over manufacturing certainty from incomplete custody.</w:t>
            </w:r>
          </w:p>
        </w:tc>
      </w:tr>
      <w:tr>
        <w:tc>
          <w:tcPr>
            <w:tcW w:type="dxa" w:w="5040"/>
            <w:tcMar>
              <w:top w:w="80" w:type="dxa"/>
              <w:start w:w="100" w:type="dxa"/>
              <w:bottom w:w="80" w:type="dxa"/>
              <w:end w:w="100" w:type="dxa"/>
            </w:tcMar>
            <w:vAlign w:val="center"/>
          </w:tcPr>
          <w:p>
            <w:pPr>
              <w:spacing w:after="0"/>
            </w:pPr>
            <w:r>
              <w:rPr>
                <w:sz w:val="17"/>
              </w:rPr>
              <w:t>Latency and graph overhead</w:t>
            </w:r>
          </w:p>
        </w:tc>
        <w:tc>
          <w:tcPr>
            <w:tcW w:type="dxa" w:w="5040"/>
            <w:tcMar>
              <w:top w:w="80" w:type="dxa"/>
              <w:start w:w="100" w:type="dxa"/>
              <w:bottom w:w="80" w:type="dxa"/>
              <w:end w:w="100" w:type="dxa"/>
            </w:tcMar>
            <w:vAlign w:val="center"/>
          </w:tcPr>
          <w:p>
            <w:pPr>
              <w:spacing w:after="0"/>
            </w:pPr>
            <w:r>
              <w:rPr>
                <w:sz w:val="17"/>
              </w:rPr>
              <w:t>If custody improves correctness but doubles latency, judges should see that tradeoff. Add wall-clock and query-stage timing.</w:t>
            </w:r>
          </w:p>
        </w:tc>
      </w:tr>
      <w:tr>
        <w:tc>
          <w:tcPr>
            <w:tcW w:type="dxa" w:w="5040"/>
            <w:shd w:fill="F4F5F6"/>
            <w:tcMar>
              <w:top w:w="80" w:type="dxa"/>
              <w:start w:w="100" w:type="dxa"/>
              <w:bottom w:w="80" w:type="dxa"/>
              <w:end w:w="100" w:type="dxa"/>
            </w:tcMar>
            <w:vAlign w:val="center"/>
          </w:tcPr>
          <w:p>
            <w:pPr>
              <w:spacing w:after="0"/>
            </w:pPr>
            <w:r>
              <w:rPr>
                <w:sz w:val="17"/>
              </w:rPr>
              <w:t>Permissions / tenancy lineage</w:t>
            </w:r>
          </w:p>
        </w:tc>
        <w:tc>
          <w:tcPr>
            <w:tcW w:type="dxa" w:w="5040"/>
            <w:shd w:fill="F4F5F6"/>
            <w:tcMar>
              <w:top w:w="80" w:type="dxa"/>
              <w:start w:w="100" w:type="dxa"/>
              <w:bottom w:w="80" w:type="dxa"/>
              <w:end w:w="100" w:type="dxa"/>
            </w:tcMar>
            <w:vAlign w:val="center"/>
          </w:tcPr>
          <w:p>
            <w:pPr>
              <w:spacing w:after="0"/>
            </w:pPr>
            <w:r>
              <w:rPr>
                <w:sz w:val="17"/>
              </w:rPr>
              <w:t>For production multi-agent systems, authorization context should travel with evidence paths, not be reconstructed after retrieval.</w:t>
            </w:r>
          </w:p>
        </w:tc>
      </w:tr>
      <w:tr>
        <w:tc>
          <w:tcPr>
            <w:tcW w:type="dxa" w:w="5040"/>
            <w:tcMar>
              <w:top w:w="80" w:type="dxa"/>
              <w:start w:w="100" w:type="dxa"/>
              <w:bottom w:w="80" w:type="dxa"/>
              <w:end w:w="100" w:type="dxa"/>
            </w:tcMar>
            <w:vAlign w:val="center"/>
          </w:tcPr>
          <w:p>
            <w:pPr>
              <w:spacing w:after="0"/>
            </w:pPr>
            <w:r>
              <w:rPr>
                <w:sz w:val="17"/>
              </w:rPr>
              <w:t>Independent replication</w:t>
            </w:r>
          </w:p>
        </w:tc>
        <w:tc>
          <w:tcPr>
            <w:tcW w:type="dxa" w:w="5040"/>
            <w:tcMar>
              <w:top w:w="80" w:type="dxa"/>
              <w:start w:w="100" w:type="dxa"/>
              <w:bottom w:w="80" w:type="dxa"/>
              <w:end w:w="100" w:type="dxa"/>
            </w:tcMar>
            <w:vAlign w:val="center"/>
          </w:tcPr>
          <w:p>
            <w:pPr>
              <w:spacing w:after="0"/>
            </w:pPr>
            <w:r>
              <w:rPr>
                <w:sz w:val="17"/>
              </w:rPr>
              <w:t>A future package should enable a second machine/operator to reproduce hashes, retrieval payloads, and core result tables.</w:t>
            </w:r>
          </w:p>
        </w:tc>
      </w:tr>
    </w:tbl>
    <w:p>
      <w:r>
        <w:br w:type="page"/>
      </w:r>
    </w:p>
    <w:p>
      <w:pPr>
        <w:pStyle w:val="Heading1"/>
      </w:pPr>
      <w:r>
        <w:t>9. Judge-ready answer: Why HydraDB + why HydraDG?</w:t>
      </w:r>
    </w:p>
    <w:tbl>
      <w:tblPr>
        <w:tblW w:type="auto" w:w="0"/>
        <w:jc w:val="center"/>
        <w:tblLook w:firstColumn="1" w:firstRow="1" w:lastColumn="0" w:lastRow="0" w:noHBand="0" w:noVBand="1" w:val="04A0"/>
      </w:tblPr>
      <w:tblGrid>
        <w:gridCol w:w="10080"/>
      </w:tblGrid>
      <w:tr>
        <w:tc>
          <w:tcPr>
            <w:tcW w:type="dxa" w:w="10080"/>
            <w:shd w:fill="F5EFE3"/>
            <w:tcMar>
              <w:top w:w="120" w:type="dxa"/>
              <w:start w:w="140" w:type="dxa"/>
              <w:bottom w:w="120" w:type="dxa"/>
              <w:end w:w="140" w:type="dxa"/>
            </w:tcMar>
          </w:tcPr>
          <w:p>
            <w:pPr>
              <w:spacing w:after="40"/>
            </w:pPr>
            <w:r>
              <w:rPr>
                <w:b/>
                <w:color w:val="B08D57"/>
                <w:sz w:val="17"/>
              </w:rPr>
              <w:t>30-SECOND ANSWER</w:t>
            </w:r>
          </w:p>
          <w:p>
            <w:pPr>
              <w:spacing w:after="0"/>
            </w:pPr>
            <w:r>
              <w:rPr>
                <w:color w:val="181818"/>
                <w:sz w:val="22"/>
              </w:rPr>
              <w:t>HydraDB gives us the right substrate: versioned, time-aware, relationship-aware context instead of flat similarity search. HydraDG adds a custody and experimentation layer around that memory. We can deliberately poison one fact, locate the first divergence, restore it without deleting history, trace which model or agent inherited the error, and keep the evidence state honest. We also content-address repeated atoms so we can measure how much duplicate identity, context, compute and eventually storage cost can be removed. Our current 65.73% identity-reuse figure is deterministic accounting; actual byte and energy savings remain explicitly separate measurement gates.</w:t>
            </w:r>
          </w:p>
        </w:tc>
      </w:tr>
    </w:tbl>
    <w:p>
      <w:pPr>
        <w:spacing w:after="0"/>
      </w:pPr>
    </w:p>
    <w:p>
      <w:pPr>
        <w:pStyle w:val="Heading2"/>
      </w:pPr>
      <w:r>
        <w:t>External HydraDB reference points</w:t>
      </w:r>
    </w:p>
    <w:p>
      <w:pPr>
        <w:pStyle w:val="ListBullet"/>
        <w:spacing w:after="50"/>
        <w:ind w:left="0"/>
      </w:pPr>
      <w:r>
        <w:t>HydraDB reports 90.79% overall on LongMemEval-S and describes multi-session reasoning as an open frontier even in strong systems.</w:t>
      </w:r>
    </w:p>
    <w:p>
      <w:pPr>
        <w:pStyle w:val="ListBullet"/>
        <w:spacing w:after="50"/>
        <w:ind w:left="0"/>
      </w:pPr>
      <w:r>
        <w:t>HydraDB reports 82% overall on BEAM 1M as an external reference; HydraDG does not claim that score as its own.</w:t>
      </w:r>
    </w:p>
    <w:p>
      <w:pPr>
        <w:pStyle w:val="ListBullet"/>
        <w:spacing w:after="50"/>
        <w:ind w:left="0"/>
      </w:pPr>
      <w:r>
        <w:t>HydraDB publicly positions its architecture around versioned temporal graphs, hybrid retrieval, entity resolution, tiered storage, and storage-based pricing.</w:t>
      </w:r>
    </w:p>
    <w:p>
      <w:r>
        <w:br w:type="page"/>
      </w:r>
    </w:p>
    <w:p>
      <w:pPr>
        <w:pStyle w:val="Heading1"/>
      </w:pPr>
      <w:r>
        <w:t>10. Highest-value work before final freeze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81818"/>
            <w:tcMar>
              <w:top w:w="80" w:type="dxa"/>
              <w:start w:w="100" w:type="dxa"/>
              <w:bottom w:w="80" w:type="dxa"/>
              <w:end w:w="100" w:type="dxa"/>
            </w:tcMar>
          </w:tcPr>
          <w:p>
            <w:r>
              <w:rPr>
                <w:b/>
                <w:color w:val="FFFFFF"/>
                <w:sz w:val="18"/>
              </w:rPr>
              <w:t>Priority</w:t>
            </w:r>
          </w:p>
        </w:tc>
        <w:tc>
          <w:tcPr>
            <w:tcW w:type="dxa" w:w="3360"/>
            <w:shd w:fill="181818"/>
            <w:tcMar>
              <w:top w:w="80" w:type="dxa"/>
              <w:start w:w="100" w:type="dxa"/>
              <w:bottom w:w="80" w:type="dxa"/>
              <w:end w:w="100" w:type="dxa"/>
            </w:tcMar>
          </w:tcPr>
          <w:p>
            <w:r>
              <w:rPr>
                <w:b/>
                <w:color w:val="FFFFFF"/>
                <w:sz w:val="18"/>
              </w:rPr>
              <w:t>Work</w:t>
            </w:r>
          </w:p>
        </w:tc>
        <w:tc>
          <w:tcPr>
            <w:tcW w:type="dxa" w:w="3360"/>
            <w:shd w:fill="181818"/>
            <w:tcMar>
              <w:top w:w="80" w:type="dxa"/>
              <w:start w:w="100" w:type="dxa"/>
              <w:bottom w:w="80" w:type="dxa"/>
              <w:end w:w="100" w:type="dxa"/>
            </w:tcMar>
          </w:tcPr>
          <w:p>
            <w:r>
              <w:rPr>
                <w:b/>
                <w:color w:val="FFFFFF"/>
                <w:sz w:val="18"/>
              </w:rPr>
              <w:t>Release gate / purpose</w:t>
            </w:r>
          </w:p>
        </w:tc>
      </w:tr>
      <w:tr>
        <w:tc>
          <w:tcPr>
            <w:tcW w:type="dxa" w:w="3360"/>
            <w:tcMar>
              <w:top w:w="80" w:type="dxa"/>
              <w:start w:w="100" w:type="dxa"/>
              <w:bottom w:w="80" w:type="dxa"/>
              <w:end w:w="100" w:type="dxa"/>
            </w:tcMar>
            <w:vAlign w:val="center"/>
          </w:tcPr>
          <w:p>
            <w:pPr>
              <w:spacing w:after="0"/>
            </w:pPr>
            <w:r>
              <w:rPr>
                <w:sz w:val="17"/>
              </w:rPr>
              <w:t>P0</w:t>
            </w:r>
          </w:p>
        </w:tc>
        <w:tc>
          <w:tcPr>
            <w:tcW w:type="dxa" w:w="3360"/>
            <w:tcMar>
              <w:top w:w="80" w:type="dxa"/>
              <w:start w:w="100" w:type="dxa"/>
              <w:bottom w:w="80" w:type="dxa"/>
              <w:end w:w="100" w:type="dxa"/>
            </w:tcMar>
            <w:vAlign w:val="center"/>
          </w:tcPr>
          <w:p>
            <w:pPr>
              <w:spacing w:after="0"/>
            </w:pPr>
            <w:r>
              <w:rPr>
                <w:sz w:val="17"/>
              </w:rPr>
              <w:t>Fix/verify live UI claim state</w:t>
            </w:r>
          </w:p>
        </w:tc>
        <w:tc>
          <w:tcPr>
            <w:tcW w:type="dxa" w:w="3360"/>
            <w:tcMar>
              <w:top w:w="80" w:type="dxa"/>
              <w:start w:w="100" w:type="dxa"/>
              <w:bottom w:w="80" w:type="dxa"/>
              <w:end w:w="100" w:type="dxa"/>
            </w:tcMar>
            <w:vAlign w:val="center"/>
          </w:tcPr>
          <w:p>
            <w:pPr>
              <w:spacing w:after="0"/>
            </w:pPr>
            <w:r>
              <w:rPr>
                <w:sz w:val="17"/>
              </w:rPr>
              <w:t>Connectivity may PASS; full canonical parity must remain NOT_ESTABLISHED until 653/1,692 scoped readback + root comparison passes.</w:t>
            </w:r>
          </w:p>
        </w:tc>
      </w:tr>
      <w:tr>
        <w:tc>
          <w:tcPr>
            <w:tcW w:type="dxa" w:w="3360"/>
            <w:shd w:fill="F4F5F6"/>
            <w:tcMar>
              <w:top w:w="80" w:type="dxa"/>
              <w:start w:w="100" w:type="dxa"/>
              <w:bottom w:w="80" w:type="dxa"/>
              <w:end w:w="100" w:type="dxa"/>
            </w:tcMar>
            <w:vAlign w:val="center"/>
          </w:tcPr>
          <w:p>
            <w:pPr>
              <w:spacing w:after="0"/>
            </w:pPr>
            <w:r>
              <w:rPr>
                <w:sz w:val="17"/>
              </w:rPr>
              <w:t>P0</w:t>
            </w:r>
          </w:p>
        </w:tc>
        <w:tc>
          <w:tcPr>
            <w:tcW w:type="dxa" w:w="3360"/>
            <w:shd w:fill="F4F5F6"/>
            <w:tcMar>
              <w:top w:w="80" w:type="dxa"/>
              <w:start w:w="100" w:type="dxa"/>
              <w:bottom w:w="80" w:type="dxa"/>
              <w:end w:w="100" w:type="dxa"/>
            </w:tcMar>
            <w:vAlign w:val="center"/>
          </w:tcPr>
          <w:p>
            <w:pPr>
              <w:spacing w:after="0"/>
            </w:pPr>
            <w:r>
              <w:rPr>
                <w:sz w:val="17"/>
              </w:rPr>
              <w:t>Freeze video URL + exact release SHA</w:t>
            </w:r>
          </w:p>
        </w:tc>
        <w:tc>
          <w:tcPr>
            <w:tcW w:type="dxa" w:w="3360"/>
            <w:shd w:fill="F4F5F6"/>
            <w:tcMar>
              <w:top w:w="80" w:type="dxa"/>
              <w:start w:w="100" w:type="dxa"/>
              <w:bottom w:w="80" w:type="dxa"/>
              <w:end w:w="100" w:type="dxa"/>
            </w:tcMar>
            <w:vAlign w:val="center"/>
          </w:tcPr>
          <w:p>
            <w:pPr>
              <w:spacing w:after="0"/>
            </w:pPr>
            <w:r>
              <w:rPr>
                <w:sz w:val="17"/>
              </w:rPr>
              <w:t>Time-stamp the preview and preserve Git/FCO lineage.</w:t>
            </w:r>
          </w:p>
        </w:tc>
      </w:tr>
      <w:tr>
        <w:tc>
          <w:tcPr>
            <w:tcW w:type="dxa" w:w="3360"/>
            <w:tcMar>
              <w:top w:w="80" w:type="dxa"/>
              <w:start w:w="100" w:type="dxa"/>
              <w:bottom w:w="80" w:type="dxa"/>
              <w:end w:w="100" w:type="dxa"/>
            </w:tcMar>
            <w:vAlign w:val="center"/>
          </w:tcPr>
          <w:p>
            <w:pPr>
              <w:spacing w:after="0"/>
            </w:pPr>
            <w:r>
              <w:rPr>
                <w:sz w:val="17"/>
              </w:rPr>
              <w:t>P1</w:t>
            </w:r>
          </w:p>
        </w:tc>
        <w:tc>
          <w:tcPr>
            <w:tcW w:type="dxa" w:w="3360"/>
            <w:tcMar>
              <w:top w:w="80" w:type="dxa"/>
              <w:start w:w="100" w:type="dxa"/>
              <w:bottom w:w="80" w:type="dxa"/>
              <w:end w:w="100" w:type="dxa"/>
            </w:tcMar>
            <w:vAlign w:val="center"/>
          </w:tcPr>
          <w:p>
            <w:pPr>
              <w:spacing w:after="0"/>
            </w:pPr>
            <w:r>
              <w:rPr>
                <w:sz w:val="17"/>
              </w:rPr>
              <w:t>Byte manifest</w:t>
            </w:r>
          </w:p>
        </w:tc>
        <w:tc>
          <w:tcPr>
            <w:tcW w:type="dxa" w:w="3360"/>
            <w:tcMar>
              <w:top w:w="80" w:type="dxa"/>
              <w:start w:w="100" w:type="dxa"/>
              <w:bottom w:w="80" w:type="dxa"/>
              <w:end w:w="100" w:type="dxa"/>
            </w:tcMar>
            <w:vAlign w:val="center"/>
          </w:tcPr>
          <w:p>
            <w:pPr>
              <w:spacing w:after="0"/>
            </w:pPr>
            <w:r>
              <w:rPr>
                <w:sz w:val="17"/>
              </w:rPr>
              <w:t>Freeze path,size_bytes,sha256 for acquired corpus and compute real duplicate-byte / serialized-storage savings.</w:t>
            </w:r>
          </w:p>
        </w:tc>
      </w:tr>
      <w:tr>
        <w:tc>
          <w:tcPr>
            <w:tcW w:type="dxa" w:w="3360"/>
            <w:shd w:fill="F4F5F6"/>
            <w:tcMar>
              <w:top w:w="80" w:type="dxa"/>
              <w:start w:w="100" w:type="dxa"/>
              <w:bottom w:w="80" w:type="dxa"/>
              <w:end w:w="100" w:type="dxa"/>
            </w:tcMar>
            <w:vAlign w:val="center"/>
          </w:tcPr>
          <w:p>
            <w:pPr>
              <w:spacing w:after="0"/>
            </w:pPr>
            <w:r>
              <w:rPr>
                <w:sz w:val="17"/>
              </w:rPr>
              <w:t>P1</w:t>
            </w:r>
          </w:p>
        </w:tc>
        <w:tc>
          <w:tcPr>
            <w:tcW w:type="dxa" w:w="3360"/>
            <w:shd w:fill="F4F5F6"/>
            <w:tcMar>
              <w:top w:w="80" w:type="dxa"/>
              <w:start w:w="100" w:type="dxa"/>
              <w:bottom w:w="80" w:type="dxa"/>
              <w:end w:w="100" w:type="dxa"/>
            </w:tcMar>
            <w:vAlign w:val="center"/>
          </w:tcPr>
          <w:p>
            <w:pPr>
              <w:spacing w:after="0"/>
            </w:pPr>
            <w:r>
              <w:rPr>
                <w:sz w:val="17"/>
              </w:rPr>
              <w:t>Context-token + inference-call instrumentation</w:t>
            </w:r>
          </w:p>
        </w:tc>
        <w:tc>
          <w:tcPr>
            <w:tcW w:type="dxa" w:w="3360"/>
            <w:shd w:fill="F4F5F6"/>
            <w:tcMar>
              <w:top w:w="80" w:type="dxa"/>
              <w:start w:w="100" w:type="dxa"/>
              <w:bottom w:w="80" w:type="dxa"/>
              <w:end w:w="100" w:type="dxa"/>
            </w:tcMar>
            <w:vAlign w:val="center"/>
          </w:tcPr>
          <w:p>
            <w:pPr>
              <w:spacing w:after="0"/>
            </w:pPr>
            <w:r>
              <w:rPr>
                <w:sz w:val="17"/>
              </w:rPr>
              <w:t>Measure prompts, repeated evidence, avoided calls, latency and cost per correct governed answer.</w:t>
            </w:r>
          </w:p>
        </w:tc>
      </w:tr>
      <w:tr>
        <w:tc>
          <w:tcPr>
            <w:tcW w:type="dxa" w:w="3360"/>
            <w:tcMar>
              <w:top w:w="80" w:type="dxa"/>
              <w:start w:w="100" w:type="dxa"/>
              <w:bottom w:w="80" w:type="dxa"/>
              <w:end w:w="100" w:type="dxa"/>
            </w:tcMar>
            <w:vAlign w:val="center"/>
          </w:tcPr>
          <w:p>
            <w:pPr>
              <w:spacing w:after="0"/>
            </w:pPr>
            <w:r>
              <w:rPr>
                <w:sz w:val="17"/>
              </w:rPr>
              <w:t>P1</w:t>
            </w:r>
          </w:p>
        </w:tc>
        <w:tc>
          <w:tcPr>
            <w:tcW w:type="dxa" w:w="3360"/>
            <w:tcMar>
              <w:top w:w="80" w:type="dxa"/>
              <w:start w:w="100" w:type="dxa"/>
              <w:bottom w:w="80" w:type="dxa"/>
              <w:end w:w="100" w:type="dxa"/>
            </w:tcMar>
            <w:vAlign w:val="center"/>
          </w:tcPr>
          <w:p>
            <w:pPr>
              <w:spacing w:after="0"/>
            </w:pPr>
            <w:r>
              <w:rPr>
                <w:sz w:val="17"/>
              </w:rPr>
              <w:t>Official BEAM materialization</w:t>
            </w:r>
          </w:p>
        </w:tc>
        <w:tc>
          <w:tcPr>
            <w:tcW w:type="dxa" w:w="3360"/>
            <w:tcMar>
              <w:top w:w="80" w:type="dxa"/>
              <w:start w:w="100" w:type="dxa"/>
              <w:bottom w:w="80" w:type="dxa"/>
              <w:end w:w="100" w:type="dxa"/>
            </w:tcMar>
            <w:vAlign w:val="center"/>
          </w:tcPr>
          <w:p>
            <w:pPr>
              <w:spacing w:after="0"/>
            </w:pPr>
            <w:r>
              <w:rPr>
                <w:sz w:val="17"/>
              </w:rPr>
              <w:t>Pin official data revision; hash actual rows; execute preregistered routes only after provenance passes.</w:t>
            </w:r>
          </w:p>
        </w:tc>
      </w:tr>
      <w:tr>
        <w:tc>
          <w:tcPr>
            <w:tcW w:type="dxa" w:w="3360"/>
            <w:shd w:fill="F4F5F6"/>
            <w:tcMar>
              <w:top w:w="80" w:type="dxa"/>
              <w:start w:w="100" w:type="dxa"/>
              <w:bottom w:w="80" w:type="dxa"/>
              <w:end w:w="100" w:type="dxa"/>
            </w:tcMar>
            <w:vAlign w:val="center"/>
          </w:tcPr>
          <w:p>
            <w:pPr>
              <w:spacing w:after="0"/>
            </w:pPr>
            <w:r>
              <w:rPr>
                <w:sz w:val="17"/>
              </w:rPr>
              <w:t>P2</w:t>
            </w:r>
          </w:p>
        </w:tc>
        <w:tc>
          <w:tcPr>
            <w:tcW w:type="dxa" w:w="3360"/>
            <w:shd w:fill="F4F5F6"/>
            <w:tcMar>
              <w:top w:w="80" w:type="dxa"/>
              <w:start w:w="100" w:type="dxa"/>
              <w:bottom w:w="80" w:type="dxa"/>
              <w:end w:w="100" w:type="dxa"/>
            </w:tcMar>
            <w:vAlign w:val="center"/>
          </w:tcPr>
          <w:p>
            <w:pPr>
              <w:spacing w:after="0"/>
            </w:pPr>
            <w:r>
              <w:rPr>
                <w:sz w:val="17"/>
              </w:rPr>
              <w:t>Multi-agent poison/antidote extension</w:t>
            </w:r>
          </w:p>
        </w:tc>
        <w:tc>
          <w:tcPr>
            <w:tcW w:type="dxa" w:w="3360"/>
            <w:shd w:fill="F4F5F6"/>
            <w:tcMar>
              <w:top w:w="80" w:type="dxa"/>
              <w:start w:w="100" w:type="dxa"/>
              <w:bottom w:w="80" w:type="dxa"/>
              <w:end w:w="100" w:type="dxa"/>
            </w:tcMar>
            <w:vAlign w:val="center"/>
          </w:tcPr>
          <w:p>
            <w:pPr>
              <w:spacing w:after="0"/>
            </w:pPr>
            <w:r>
              <w:rPr>
                <w:sz w:val="17"/>
              </w:rPr>
              <w:t>Run controlled agent inheritance failures and score first divergence, propagation, recovery and cost.</w:t>
            </w:r>
          </w:p>
        </w:tc>
      </w:tr>
      <w:tr>
        <w:tc>
          <w:tcPr>
            <w:tcW w:type="dxa" w:w="3360"/>
            <w:tcMar>
              <w:top w:w="80" w:type="dxa"/>
              <w:start w:w="100" w:type="dxa"/>
              <w:bottom w:w="80" w:type="dxa"/>
              <w:end w:w="100" w:type="dxa"/>
            </w:tcMar>
            <w:vAlign w:val="center"/>
          </w:tcPr>
          <w:p>
            <w:pPr>
              <w:spacing w:after="0"/>
            </w:pPr>
            <w:r>
              <w:rPr>
                <w:sz w:val="17"/>
              </w:rPr>
              <w:t>P2</w:t>
            </w:r>
          </w:p>
        </w:tc>
        <w:tc>
          <w:tcPr>
            <w:tcW w:type="dxa" w:w="3360"/>
            <w:tcMar>
              <w:top w:w="80" w:type="dxa"/>
              <w:start w:w="100" w:type="dxa"/>
              <w:bottom w:w="80" w:type="dxa"/>
              <w:end w:w="100" w:type="dxa"/>
            </w:tcMar>
            <w:vAlign w:val="center"/>
          </w:tcPr>
          <w:p>
            <w:pPr>
              <w:spacing w:after="0"/>
            </w:pPr>
            <w:r>
              <w:rPr>
                <w:sz w:val="17"/>
              </w:rPr>
              <w:t>Independent replay</w:t>
            </w:r>
          </w:p>
        </w:tc>
        <w:tc>
          <w:tcPr>
            <w:tcW w:type="dxa" w:w="3360"/>
            <w:tcMar>
              <w:top w:w="80" w:type="dxa"/>
              <w:start w:w="100" w:type="dxa"/>
              <w:bottom w:w="80" w:type="dxa"/>
              <w:end w:w="100" w:type="dxa"/>
            </w:tcMar>
            <w:vAlign w:val="center"/>
          </w:tcPr>
          <w:p>
            <w:pPr>
              <w:spacing w:after="0"/>
            </w:pPr>
            <w:r>
              <w:rPr>
                <w:sz w:val="17"/>
              </w:rPr>
              <w:t>Re-run the frozen artifact chain on a second environment without changing scientific results.</w:t>
            </w:r>
          </w:p>
        </w:tc>
      </w:tr>
    </w:tbl>
    <w:p>
      <w:pPr>
        <w:pStyle w:val="Heading1"/>
      </w:pPr>
      <w:r>
        <w:t>Sources and provenance</w:t>
      </w:r>
    </w:p>
    <w:p>
      <w:pPr>
        <w:pStyle w:val="ListBullet"/>
        <w:spacing w:after="50"/>
        <w:ind w:left="0"/>
      </w:pPr>
      <w:r>
        <w:t>HydraDB homepage: https://hydradb.com/</w:t>
      </w:r>
    </w:p>
    <w:p>
      <w:pPr>
        <w:pStyle w:val="ListBullet"/>
        <w:spacing w:after="50"/>
        <w:ind w:left="0"/>
      </w:pPr>
      <w:r>
        <w:t>HydraDB benchmarks: https://benchmarks.hydradb.com/</w:t>
      </w:r>
    </w:p>
    <w:p>
      <w:pPr>
        <w:pStyle w:val="ListBullet"/>
        <w:spacing w:after="50"/>
        <w:ind w:left="0"/>
      </w:pPr>
      <w:r>
        <w:t>HydraDB BEAM 1M report: https://benchmarks.hydradb.com/beam.pdf</w:t>
      </w:r>
    </w:p>
    <w:p>
      <w:pPr>
        <w:pStyle w:val="ListBullet"/>
        <w:spacing w:after="50"/>
        <w:ind w:left="0"/>
      </w:pPr>
      <w:r>
        <w:t>HydraDB “Git for Context”: https://hydradb.com/blog/git-for-context-versioned-temporal-graphs-ai-agent-memory</w:t>
      </w:r>
    </w:p>
    <w:p>
      <w:pPr>
        <w:pStyle w:val="ListBullet"/>
        <w:spacing w:after="50"/>
        <w:ind w:left="0"/>
      </w:pPr>
      <w:r>
        <w:t>HydraDG repository: https://github.com/biobitworks/hydradg</w:t>
      </w:r>
    </w:p>
    <w:p>
      <w:pPr>
        <w:pStyle w:val="ListBullet"/>
        <w:spacing w:after="50"/>
        <w:ind w:left="0"/>
      </w:pPr>
      <w:r>
        <w:t>Review branch: hack-hydra/final-hosted-fcg-20260820</w:t>
      </w:r>
    </w:p>
    <w:p>
      <w:pPr>
        <w:pStyle w:val="ListBullet"/>
        <w:spacing w:after="50"/>
        <w:ind w:left="0"/>
      </w:pPr>
      <w:r>
        <w:t>Current repository evidence used in this package includes SUBMISSION.md, best-use page, releaseTimepoints.ts, judge/evidence pages, and the Golden Path UI.</w:t>
      </w:r>
    </w:p>
    <w:tbl>
      <w:tblPr>
        <w:tblW w:type="auto" w:w="0"/>
        <w:jc w:val="center"/>
        <w:tblLook w:firstColumn="1" w:firstRow="1" w:lastColumn="0" w:lastRow="0" w:noHBand="0" w:noVBand="1" w:val="04A0"/>
      </w:tblPr>
      <w:tblGrid>
        <w:gridCol w:w="10080"/>
      </w:tblGrid>
      <w:tr>
        <w:tc>
          <w:tcPr>
            <w:tcW w:type="dxa" w:w="10080"/>
            <w:shd w:fill="F8ECEC"/>
            <w:tcMar>
              <w:top w:w="120" w:type="dxa"/>
              <w:start w:w="140" w:type="dxa"/>
              <w:bottom w:w="120" w:type="dxa"/>
              <w:end w:w="140" w:type="dxa"/>
            </w:tcMar>
          </w:tcPr>
          <w:p>
            <w:pPr>
              <w:spacing w:after="40"/>
            </w:pPr>
            <w:r>
              <w:rPr>
                <w:b/>
                <w:color w:val="9E2A2B"/>
                <w:sz w:val="17"/>
              </w:rPr>
              <w:t>CRYPTOGRAPHIC BOUNDARY</w:t>
            </w:r>
          </w:p>
          <w:p>
            <w:pPr>
              <w:spacing w:after="0"/>
            </w:pPr>
            <w:r>
              <w:rPr>
                <w:color w:val="181818"/>
                <w:sz w:val="22"/>
              </w:rPr>
              <w:t>This package computes SHA-256 file identities. It is NOT digitally signed and is NOT Merkle/MMR committed unless a separate real signing/commitment receipt is added.</w:t>
            </w:r>
          </w:p>
        </w:tc>
      </w:tr>
    </w:tbl>
    <w:p>
      <w:pPr>
        <w:spacing w:after="0"/>
      </w:pP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8181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B08D5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8181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8181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