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B89B4A"/>
            <w:tcMar>
              <w:top w:w="12" w:type="dxa"/>
              <w:start w:w="0" w:type="dxa"/>
              <w:bottom w:w="12" w:type="dxa"/>
              <w:end w:w="0" w:type="dxa"/>
            </w:tcMar>
          </w:tcPr>
          <w:p>
            <w:pPr>
              <w:spacing w:after="0"/>
            </w:pPr>
          </w:p>
        </w:tc>
      </w:tr>
    </w:tbl>
    <w:p>
      <w:pPr>
        <w:pStyle w:val="GuideTitle"/>
        <w:jc w:val="center"/>
      </w:pPr>
      <w:r>
        <w:t>HydraDG Judge Video Guide</w:t>
      </w:r>
    </w:p>
    <w:p>
      <w:pPr>
        <w:pStyle w:val="GuideSub"/>
        <w:jc w:val="center"/>
      </w:pPr>
      <w:r>
        <w:t>Hack Hydra 2026 · Localhost recording version · 8-step Golden Path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088"/>
        <w:gridCol w:w="7776"/>
      </w:tblGrid>
      <w:tr>
        <w:tc>
          <w:tcPr>
            <w:tcW w:type="dxa" w:w="3485"/>
            <w:shd w:fill="1A1A1A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485"/>
            <w:shd w:fill="1A1A1A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3485"/>
            <w:shd w:fill="1A1A1A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CLICK / BUTTON</w:t>
            </w:r>
          </w:p>
        </w:tc>
      </w:tr>
      <w:tr>
        <w:tc>
          <w:tcPr>
            <w:tcW w:type="dxa" w:w="3485"/>
            <w:shd w:fill="F7F4EA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r>
              <w:rPr>
                <w:b/>
                <w:color w:val="B89B4A"/>
                <w:sz w:val="20"/>
              </w:rPr>
              <w:t>01</w:t>
            </w:r>
          </w:p>
        </w:tc>
        <w:tc>
          <w:tcPr>
            <w:tcW w:type="dxa" w:w="3485"/>
            <w:shd w:fill="F7F4EA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r>
              <w:rPr>
                <w:sz w:val="20"/>
              </w:rPr>
              <w:t>Reference</w:t>
            </w:r>
          </w:p>
        </w:tc>
        <w:tc>
          <w:tcPr>
            <w:tcW w:type="dxa" w:w="3485"/>
            <w:shd w:fill="F7F4EA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r>
              <w:rPr>
                <w:b/>
                <w:color w:val="345B7E"/>
                <w:sz w:val="20"/>
              </w:rPr>
              <w:t>/judge#golden-reference</w:t>
            </w:r>
          </w:p>
        </w:tc>
      </w:tr>
      <w:tr>
        <w:tc>
          <w:tcPr>
            <w:tcW w:type="dxa" w:w="3485"/>
            <w:shd w:fill="FBFAF6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r>
              <w:rPr>
                <w:b/>
                <w:color w:val="B89B4A"/>
                <w:sz w:val="20"/>
              </w:rPr>
              <w:t>02</w:t>
            </w:r>
          </w:p>
        </w:tc>
        <w:tc>
          <w:tcPr>
            <w:tcW w:type="dxa" w:w="3485"/>
            <w:shd w:fill="FBFAF6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r>
              <w:rPr>
                <w:sz w:val="20"/>
              </w:rPr>
              <w:t>Poison</w:t>
            </w:r>
          </w:p>
        </w:tc>
        <w:tc>
          <w:tcPr>
            <w:tcW w:type="dxa" w:w="3485"/>
            <w:shd w:fill="FBFAF6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r>
              <w:rPr>
                <w:b/>
                <w:color w:val="345B7E"/>
                <w:sz w:val="20"/>
              </w:rPr>
              <w:t>Next · 02 Poison</w:t>
            </w:r>
          </w:p>
        </w:tc>
      </w:tr>
      <w:tr>
        <w:tc>
          <w:tcPr>
            <w:tcW w:type="dxa" w:w="3485"/>
            <w:shd w:fill="F7F4EA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r>
              <w:rPr>
                <w:b/>
                <w:color w:val="B89B4A"/>
                <w:sz w:val="20"/>
              </w:rPr>
              <w:t>03</w:t>
            </w:r>
          </w:p>
        </w:tc>
        <w:tc>
          <w:tcPr>
            <w:tcW w:type="dxa" w:w="3485"/>
            <w:shd w:fill="F7F4EA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r>
              <w:rPr>
                <w:sz w:val="20"/>
              </w:rPr>
              <w:t>Antidote</w:t>
            </w:r>
          </w:p>
        </w:tc>
        <w:tc>
          <w:tcPr>
            <w:tcW w:type="dxa" w:w="3485"/>
            <w:shd w:fill="F7F4EA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r>
              <w:rPr>
                <w:b/>
                <w:color w:val="345B7E"/>
                <w:sz w:val="20"/>
              </w:rPr>
              <w:t>Next · 03 Antidote</w:t>
            </w:r>
          </w:p>
        </w:tc>
      </w:tr>
      <w:tr>
        <w:tc>
          <w:tcPr>
            <w:tcW w:type="dxa" w:w="3485"/>
            <w:shd w:fill="FBFAF6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r>
              <w:rPr>
                <w:b/>
                <w:color w:val="B89B4A"/>
                <w:sz w:val="20"/>
              </w:rPr>
              <w:t>04</w:t>
            </w:r>
          </w:p>
        </w:tc>
        <w:tc>
          <w:tcPr>
            <w:tcW w:type="dxa" w:w="3485"/>
            <w:shd w:fill="FBFAF6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r>
              <w:rPr>
                <w:sz w:val="20"/>
              </w:rPr>
              <w:t>HydraDB</w:t>
            </w:r>
          </w:p>
        </w:tc>
        <w:tc>
          <w:tcPr>
            <w:tcW w:type="dxa" w:w="3485"/>
            <w:shd w:fill="FBFAF6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r>
              <w:rPr>
                <w:b/>
                <w:color w:val="345B7E"/>
                <w:sz w:val="20"/>
              </w:rPr>
              <w:t>Next · 04 HydraDB</w:t>
            </w:r>
          </w:p>
        </w:tc>
      </w:tr>
      <w:tr>
        <w:tc>
          <w:tcPr>
            <w:tcW w:type="dxa" w:w="3485"/>
            <w:shd w:fill="F7F4EA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r>
              <w:rPr>
                <w:b/>
                <w:color w:val="B89B4A"/>
                <w:sz w:val="20"/>
              </w:rPr>
              <w:t>05</w:t>
            </w:r>
          </w:p>
        </w:tc>
        <w:tc>
          <w:tcPr>
            <w:tcW w:type="dxa" w:w="3485"/>
            <w:shd w:fill="F7F4EA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r>
              <w:rPr>
                <w:sz w:val="20"/>
              </w:rPr>
              <w:t>Results</w:t>
            </w:r>
          </w:p>
        </w:tc>
        <w:tc>
          <w:tcPr>
            <w:tcW w:type="dxa" w:w="3485"/>
            <w:shd w:fill="F7F4EA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r>
              <w:rPr>
                <w:b/>
                <w:color w:val="345B7E"/>
                <w:sz w:val="20"/>
              </w:rPr>
              <w:t>Next · 05 Results</w:t>
            </w:r>
          </w:p>
        </w:tc>
      </w:tr>
      <w:tr>
        <w:tc>
          <w:tcPr>
            <w:tcW w:type="dxa" w:w="3485"/>
            <w:shd w:fill="FBFAF6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r>
              <w:rPr>
                <w:b/>
                <w:color w:val="B89B4A"/>
                <w:sz w:val="20"/>
              </w:rPr>
              <w:t>06</w:t>
            </w:r>
          </w:p>
        </w:tc>
        <w:tc>
          <w:tcPr>
            <w:tcW w:type="dxa" w:w="3485"/>
            <w:shd w:fill="FBFAF6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r>
              <w:rPr>
                <w:sz w:val="20"/>
              </w:rPr>
              <w:t>Evidence</w:t>
            </w:r>
          </w:p>
        </w:tc>
        <w:tc>
          <w:tcPr>
            <w:tcW w:type="dxa" w:w="3485"/>
            <w:shd w:fill="FBFAF6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r>
              <w:rPr>
                <w:b/>
                <w:color w:val="345B7E"/>
                <w:sz w:val="20"/>
              </w:rPr>
              <w:t>Next · 06 Evidence</w:t>
            </w:r>
          </w:p>
        </w:tc>
      </w:tr>
      <w:tr>
        <w:tc>
          <w:tcPr>
            <w:tcW w:type="dxa" w:w="3485"/>
            <w:shd w:fill="F7F4EA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r>
              <w:rPr>
                <w:b/>
                <w:color w:val="B89B4A"/>
                <w:sz w:val="20"/>
              </w:rPr>
              <w:t>07</w:t>
            </w:r>
          </w:p>
        </w:tc>
        <w:tc>
          <w:tcPr>
            <w:tcW w:type="dxa" w:w="3485"/>
            <w:shd w:fill="F7F4EA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r>
              <w:rPr>
                <w:sz w:val="20"/>
              </w:rPr>
              <w:t>Future Work</w:t>
            </w:r>
          </w:p>
        </w:tc>
        <w:tc>
          <w:tcPr>
            <w:tcW w:type="dxa" w:w="3485"/>
            <w:shd w:fill="F7F4EA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r>
              <w:rPr>
                <w:b/>
                <w:color w:val="345B7E"/>
                <w:sz w:val="20"/>
              </w:rPr>
              <w:t>Next · 07 Future</w:t>
            </w:r>
          </w:p>
        </w:tc>
      </w:tr>
      <w:tr>
        <w:tc>
          <w:tcPr>
            <w:tcW w:type="dxa" w:w="3485"/>
            <w:shd w:fill="FBFAF6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r>
              <w:rPr>
                <w:b/>
                <w:color w:val="B89B4A"/>
                <w:sz w:val="20"/>
              </w:rPr>
              <w:t>08</w:t>
            </w:r>
          </w:p>
        </w:tc>
        <w:tc>
          <w:tcPr>
            <w:tcW w:type="dxa" w:w="3485"/>
            <w:shd w:fill="FBFAF6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r>
              <w:rPr>
                <w:sz w:val="20"/>
              </w:rPr>
              <w:t>Claim Boundary</w:t>
            </w:r>
          </w:p>
        </w:tc>
        <w:tc>
          <w:tcPr>
            <w:tcW w:type="dxa" w:w="3485"/>
            <w:shd w:fill="FBFAF6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r>
              <w:rPr>
                <w:b/>
                <w:color w:val="345B7E"/>
                <w:sz w:val="20"/>
              </w:rPr>
              <w:t>Next · 08 Claim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B89B4A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START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345B7E"/>
                <w:sz w:val="20"/>
              </w:rPr>
              <w:t>http://127.0.0.1:3000/judge#golden-reference</w:t>
              <w:br/>
            </w:r>
            <w:r>
              <w:rPr>
                <w:color w:val="1A1A1A"/>
                <w:sz w:val="21"/>
              </w:rPr>
              <w:t>Open this route before recording.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345B7E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Use the gold Next button after every step. Keep the Golden Path bar visible so the judge always knows where you are.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8E2D2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PRIVACY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Do not show terminal hostname, API keys, org_id, request IDs, .env files, or credential configuration.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8E2D2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BOUNDARY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Hosted connectivity and request-level canary traceability may PASS. Full 653-FCO / 1,692-edge canonical parity remains NOT_ESTABLISHED until the full scoped verifier passes.</w:t>
            </w:r>
          </w:p>
        </w:tc>
      </w:tr>
    </w:tbl>
    <w:p>
      <w:pPr>
        <w:spacing w:after="0" w:before="0" w:line="72" w:lineRule="auto"/>
      </w:pPr>
    </w:p>
    <w:p>
      <w:pPr>
        <w:jc w:val="center"/>
      </w:pPr>
      <w:r>
        <w:rPr>
          <w:color w:val="5B5B5B"/>
          <w:sz w:val="18"/>
        </w:rPr>
        <w:t>Suggested pacing: 3-5 minutes. Read SAY blocks; use VERIFY blocks as your on-screen checklist.</w:t>
      </w:r>
    </w:p>
    <w:p>
      <w:pPr>
        <w:pStyle w:val="StepMeta"/>
        <w:pageBreakBefore/>
      </w:pPr>
      <w:r>
        <w:t>GOLDEN PATH · STEP 01 OF 08</w:t>
      </w:r>
    </w:p>
    <w:p>
      <w:pPr>
        <w:pStyle w:val="StepTitle"/>
      </w:pPr>
      <w:r>
        <w:t>Reference</w:t>
      </w:r>
    </w:p>
    <w:p>
      <w:pPr>
        <w:pStyle w:val="GuideSub"/>
      </w:pPr>
      <w:r>
        <w:t>Start from the declared valid state and show that its source and custody remain attached.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B89B4A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CLICK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345B7E"/>
                <w:sz w:val="20"/>
              </w:rPr>
              <w:t>http://127.0.0.1:3000/judge#golden-reference</w:t>
              <w:br/>
            </w:r>
            <w:r>
              <w:rPr>
                <w:color w:val="1A1A1A"/>
                <w:sz w:val="21"/>
              </w:rPr>
              <w:t>Start here.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345B7E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SAY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“This is HydraDG, a governed memory system built around HydraDB and FCO/FCG custody. The golden path starts with Reference: the declared valid state and its source.”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2F6B4F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VERIFY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REFERENCE and CURRENT are visible. Keep the gold Golden Path navigation in frame.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B89B4A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1A1A1A"/>
                <w:sz w:val="20"/>
              </w:rPr>
              <w:t>Next · 02 Poison →</w:t>
            </w:r>
          </w:p>
        </w:tc>
      </w:tr>
    </w:tbl>
    <w:p>
      <w:pPr>
        <w:pStyle w:val="StepMeta"/>
        <w:pageBreakBefore/>
      </w:pPr>
      <w:r>
        <w:t>GOLDEN PATH · STEP 02 OF 08</w:t>
      </w:r>
    </w:p>
    <w:p>
      <w:pPr>
        <w:pStyle w:val="StepTitle"/>
      </w:pPr>
      <w:r>
        <w:t>Poison</w:t>
      </w:r>
    </w:p>
    <w:p>
      <w:pPr>
        <w:pStyle w:val="GuideSub"/>
      </w:pPr>
      <w:r>
        <w:t>Introduce a controlled conflicting state without erasing the predecessor.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B89B4A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CLICK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Press the gold button labeled Next · 02 Poison.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345B7E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SAY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“Poison introduces a controlled conflicting state. HydraDG keeps the predecessor and records the contradiction and supersession relationship instead of deleting history.”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2F6B4F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VERIFY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Show CONTRADICTS / SUPERSEDED_BY and explain that the first divergence remains traversable.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B89B4A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1A1A1A"/>
                <w:sz w:val="20"/>
              </w:rPr>
              <w:t>Next · 03 Antidote →</w:t>
            </w:r>
          </w:p>
        </w:tc>
      </w:tr>
    </w:tbl>
    <w:p>
      <w:pPr>
        <w:pStyle w:val="StepMeta"/>
        <w:pageBreakBefore/>
      </w:pPr>
      <w:r>
        <w:t>GOLDEN PATH · STEP 03 OF 08</w:t>
      </w:r>
    </w:p>
    <w:p>
      <w:pPr>
        <w:pStyle w:val="StepTitle"/>
      </w:pPr>
      <w:r>
        <w:t>Antidote</w:t>
      </w:r>
    </w:p>
    <w:p>
      <w:pPr>
        <w:pStyle w:val="GuideSub"/>
      </w:pPr>
      <w:r>
        <w:t>Restore the valid state while retaining the poison and recovery history.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B89B4A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CLICK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Press the gold button labeled Next · 03 Antidote.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345B7E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SAY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“Antidote restores the valid current state while preserving the poison, contradiction, provenance, and recovery path.”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2F6B4F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VERIFY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Show RESTORES / CURRENT. Recovery must not delete the failed state.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B89B4A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1A1A1A"/>
                <w:sz w:val="20"/>
              </w:rPr>
              <w:t>Next · 04 HydraDB →</w:t>
            </w:r>
          </w:p>
        </w:tc>
      </w:tr>
    </w:tbl>
    <w:p>
      <w:pPr>
        <w:pStyle w:val="StepMeta"/>
        <w:pageBreakBefore/>
      </w:pPr>
      <w:r>
        <w:t>GOLDEN PATH · STEP 04 OF 08</w:t>
      </w:r>
    </w:p>
    <w:p>
      <w:pPr>
        <w:pStyle w:val="StepTitle"/>
      </w:pPr>
      <w:r>
        <w:t>Hosted HydraDB</w:t>
      </w:r>
    </w:p>
    <w:p>
      <w:pPr>
        <w:pStyle w:val="GuideSub"/>
      </w:pPr>
      <w:r>
        <w:t>Show live hosted connectivity and request-level canary traceability without inflating the parity claim.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B89B4A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CLICK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345B7E"/>
                <w:sz w:val="20"/>
              </w:rPr>
              <w:t>http://127.0.0.1:3000/judge#hydradb-status</w:t>
              <w:br/>
            </w:r>
            <w:r>
              <w:rPr>
                <w:color w:val="1A1A1A"/>
                <w:sz w:val="21"/>
              </w:rPr>
              <w:t>Press Next · 04 HydraDB or scroll to this anchor.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345B7E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SAY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“HydraDB is live in this demonstration. The local judge application connects to the hosted HydraDB API, the hydradg database and hydradg-judge-demo collection are bound, HydraDB reports its graph and vector infrastructure ready, and our canonical FCO canary relation readback succeeds.”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345B7E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SAY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“That establishes hosted connectivity and request-level traceability. Full canonical parity of 653 FCO identities and 1,692 FCG edges remains a separate pending verification gate.”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2F6B4F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VERIFY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Connectivity = PASS · Database = hydradg · Collection = hydradg-judge-demo · Traceability = PASS_REQUEST_LEVEL · Hosted Parity = NOT_ESTABLISHED.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8E2D2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DO NOT SAY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Do not say 653/653 or 1,692/1,692 parity is verified unless full scoped readback, missing/extra accounting, ID mapping, and roots all pass.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B89B4A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1A1A1A"/>
                <w:sz w:val="20"/>
              </w:rPr>
              <w:t>Next · 05 Results →</w:t>
            </w:r>
          </w:p>
        </w:tc>
      </w:tr>
    </w:tbl>
    <w:p>
      <w:pPr>
        <w:pStyle w:val="StepMeta"/>
        <w:pageBreakBefore/>
      </w:pPr>
      <w:r>
        <w:t>GOLDEN PATH · STEP 05 OF 08</w:t>
      </w:r>
    </w:p>
    <w:p>
      <w:pPr>
        <w:pStyle w:val="StepTitle"/>
      </w:pPr>
      <w:r>
        <w:t>Historical Results</w:t>
      </w:r>
    </w:p>
    <w:p>
      <w:pPr>
        <w:pStyle w:val="GuideSub"/>
      </w:pPr>
      <w:r>
        <w:t>Show the executed Track03 evidence and preserve the null/negative result.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B89B4A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CLICK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345B7E"/>
                <w:sz w:val="20"/>
              </w:rPr>
              <w:t>http://127.0.0.1:3000/track03</w:t>
              <w:br/>
            </w:r>
            <w:r>
              <w:rPr>
                <w:color w:val="1A1A1A"/>
                <w:sz w:val="21"/>
              </w:rPr>
              <w:t>Press Next · 05 Results.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345B7E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SAY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“Our historical LongMemEval full500 retrieval experiment is preserved even though the tested graph-native routes did not outperform the flat reference at K equals 5.”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345B7E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SAY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“HydraDG keeps null, negative, failed, timeout, and abstaining evidence instead of optimizing it away. The historical claim ceiling is retrieval-ablation-only, not end-to-end QA.”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2F6B4F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VERIFY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Show 500 total cases, 470 retrieval-scored, 30 abstentions, and NO POSITIVE B/C/D HIT-RATE SIGNAL.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B89B4A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SECTION MAP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05A Result → 05B Graph → 05C Hashes → 05D Next Falsification.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B89B4A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1A1A1A"/>
                <w:sz w:val="20"/>
              </w:rPr>
              <w:t>Next · 06 Evidence →</w:t>
            </w:r>
          </w:p>
        </w:tc>
      </w:tr>
    </w:tbl>
    <w:p>
      <w:pPr>
        <w:pStyle w:val="StepMeta"/>
        <w:pageBreakBefore/>
      </w:pPr>
      <w:r>
        <w:t>GOLDEN PATH · STEP 06 OF 08</w:t>
      </w:r>
    </w:p>
    <w:p>
      <w:pPr>
        <w:pStyle w:val="StepTitle"/>
      </w:pPr>
      <w:r>
        <w:t>Evidence + FCG</w:t>
      </w:r>
    </w:p>
    <w:p>
      <w:pPr>
        <w:pStyle w:val="GuideSub"/>
      </w:pPr>
      <w:r>
        <w:t>Trace source → transformation → evidence → claim while keeping each claim ceiling visible.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B89B4A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CLICK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345B7E"/>
                <w:sz w:val="20"/>
              </w:rPr>
              <w:t>http://127.0.0.1:3000/evidence</w:t>
              <w:br/>
            </w:r>
            <w:r>
              <w:rPr>
                <w:color w:val="1A1A1A"/>
                <w:sz w:val="21"/>
              </w:rPr>
              <w:t>Press Next · 06 Evidence.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345B7E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SAY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“HydraDG treats evidence, transformations, hashes, claims, failures, and pending states as separate custody objects. A hash proves object identity; it does not prove scientific correctness by itself.”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2F6B4F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VERIFY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Show the evidence ledger, retained identities/hashes, project FCG, and NOT_SIGNED / NOT_MERKLE_COMMITTED boundaries.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B89B4A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SECTION MAP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06A Evidence Objects → 06B Retained Identities → 06C Governed Theory → 06D Project FCG.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B89B4A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1A1A1A"/>
                <w:sz w:val="20"/>
              </w:rPr>
              <w:t>Next · 07 Future →</w:t>
            </w:r>
          </w:p>
        </w:tc>
      </w:tr>
    </w:tbl>
    <w:p>
      <w:pPr>
        <w:pStyle w:val="StepMeta"/>
        <w:pageBreakBefore/>
      </w:pPr>
      <w:r>
        <w:t>GOLDEN PATH · STEP 07 OF 08</w:t>
      </w:r>
    </w:p>
    <w:p>
      <w:pPr>
        <w:pStyle w:val="StepTitle"/>
      </w:pPr>
      <w:r>
        <w:t>BEAM + Future Work</w:t>
      </w:r>
    </w:p>
    <w:p>
      <w:pPr>
        <w:pStyle w:val="GuideSub"/>
      </w:pPr>
      <w:r>
        <w:t>Present the next experiment as preregistered future work, not current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B89B4A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CLICK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345B7E"/>
                <w:sz w:val="20"/>
              </w:rPr>
              <w:t>http://127.0.0.1:3000/beam-1m</w:t>
              <w:br/>
            </w:r>
            <w:r>
              <w:rPr>
                <w:color w:val="1A1A1A"/>
                <w:sz w:val="21"/>
              </w:rPr>
              <w:t>Press Next · 07 Future.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345B7E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SAY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“The broader research direction extends multi-session reasoning into multi-agent reasoning. Every model or agent that reads, transforms, retrieves, or decides over evidence can become part of the custody graph.”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345B7E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SAY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“If an agent makes a wrong decision, that decision remains a perturbation node so we can identify where the error first entered, which downstream agents inherited it, and whether recovery succeeded.”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345B7E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SAY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“BEAM 1M is the next preregistered benchmark family. We will test the HydraDB-style hybrid architecture, then separately test FCO supersession, validity, provenance, claim-state, agent-decision lineage, and Anticube classification.”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345B7E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ECONOMICS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“We will measure canonical storage bytes, repeated context tokens, unnecessary downstream model calls, useful-compute ratio, and cost per correct governed answer. Those savings are hypotheses until measured.”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2F6B4F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VERIFY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BEAM is PREPARED_UNEXECUTED / future work. No HydraDG BEAM numerical score is claimed.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B89B4A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SECTION MAP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07A Published Reference → 07B Architecture Routes → 07C Multi-Agent Hypothesis → 07D Economics.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B89B4A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1A1A1A"/>
                <w:sz w:val="20"/>
              </w:rPr>
              <w:t>Next · 08 Claim →</w:t>
            </w:r>
          </w:p>
        </w:tc>
      </w:tr>
    </w:tbl>
    <w:p>
      <w:pPr>
        <w:pStyle w:val="StepMeta"/>
        <w:pageBreakBefore/>
      </w:pPr>
      <w:r>
        <w:t>GOLDEN PATH · STEP 08 OF 08</w:t>
      </w:r>
    </w:p>
    <w:p>
      <w:pPr>
        <w:pStyle w:val="StepTitle"/>
      </w:pPr>
      <w:r>
        <w:t>Claim Boundary</w:t>
      </w:r>
    </w:p>
    <w:p>
      <w:pPr>
        <w:pStyle w:val="GuideSub"/>
      </w:pPr>
      <w:r>
        <w:t>Close by showing exactly what is established, pending, and deliberately not claimed.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B89B4A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CLICK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345B7E"/>
                <w:sz w:val="20"/>
              </w:rPr>
              <w:t>http://127.0.0.1:3000/eligibility</w:t>
              <w:br/>
            </w:r>
            <w:r>
              <w:rPr>
                <w:color w:val="1A1A1A"/>
                <w:sz w:val="21"/>
              </w:rPr>
              <w:t>Press Next · 08 Claim.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345B7E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SAY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“HydraDG is not a leaderboard claim. It is a governed memory experiment: change state, find the first divergence, preserve custody, test recovery, and retain positive, null, negative, failed, timeout, and abstaining evidence in the same graph.”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2F6B4F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VERIFY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Historical Track03 = EXECUTED/PRESERVED · Hosted connectivity = PASS · Canary traceability = PASS_REQUEST_LEVEL · Full canonical parity = NOT_ESTABLISHED · BEAM = future/preregistered · Signature = NOT_SIGNED · Merkle = NOT_MERKLE_COMMITTED.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B89B4A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SECTION MAP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08A Governed Context Chain → 08B Current Evidence State → 08C Final Claim Boundary.</w:t>
            </w:r>
          </w:p>
        </w:tc>
      </w:tr>
    </w:tbl>
    <w:p>
      <w:pPr>
        <w:spacing w:after="0" w:before="0" w:line="72" w:lineRule="auto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B89B4A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1A1A1A"/>
                <w:sz w:val="20"/>
              </w:rPr>
              <w:t>Finish · Overview →</w:t>
            </w:r>
          </w:p>
        </w:tc>
      </w:tr>
    </w:tbl>
    <w:p>
      <w:pPr>
        <w:pStyle w:val="GuideTitle"/>
        <w:pageBreakBefore/>
      </w:pPr>
      <w:r>
        <w:t>Final 30-Second Checklist</w:t>
      </w:r>
    </w:p>
    <w:p>
      <w:pPr>
        <w:pStyle w:val="ListBullet"/>
      </w:pPr>
      <w:r>
        <w:rPr>
          <w:sz w:val="23"/>
        </w:rPr>
        <w:t>Browser starts at /judge#golden-reference.</w:t>
      </w:r>
    </w:p>
    <w:p>
      <w:pPr>
        <w:pStyle w:val="ListBullet"/>
      </w:pPr>
      <w:r>
        <w:rPr>
          <w:sz w:val="23"/>
        </w:rPr>
        <w:t>Golden Path visibly shows 01 through 08.</w:t>
      </w:r>
    </w:p>
    <w:p>
      <w:pPr>
        <w:pStyle w:val="ListBullet"/>
      </w:pPr>
      <w:r>
        <w:rPr>
          <w:sz w:val="23"/>
        </w:rPr>
        <w:t>Use gold Next buttons; do not hunt through menus during the recording.</w:t>
      </w:r>
    </w:p>
    <w:p>
      <w:pPr>
        <w:pStyle w:val="ListBullet"/>
      </w:pPr>
      <w:r>
        <w:rPr>
          <w:sz w:val="23"/>
        </w:rPr>
        <w:t>HydraDB connectivity and canary readback may show PASS / PASS_REQUEST_LEVEL.</w:t>
      </w:r>
    </w:p>
    <w:p>
      <w:pPr>
        <w:pStyle w:val="ListBullet"/>
      </w:pPr>
      <w:r>
        <w:rPr>
          <w:sz w:val="23"/>
        </w:rPr>
        <w:t>Hosted canonical parity remains NOT_ESTABLISHED until full 653/1,692 scoped verification passes.</w:t>
      </w:r>
    </w:p>
    <w:p>
      <w:pPr>
        <w:pStyle w:val="ListBullet"/>
      </w:pPr>
      <w:r>
        <w:rPr>
          <w:sz w:val="23"/>
        </w:rPr>
        <w:t>Historical Track03 null/negative evidence remains visible.</w:t>
      </w:r>
    </w:p>
    <w:p>
      <w:pPr>
        <w:pStyle w:val="ListBullet"/>
      </w:pPr>
      <w:r>
        <w:rPr>
          <w:sz w:val="23"/>
        </w:rPr>
        <w:t>BEAM and multi-agent economics remain future/preregistered work.</w:t>
      </w:r>
    </w:p>
    <w:p>
      <w:pPr>
        <w:pStyle w:val="ListBullet"/>
      </w:pPr>
      <w:r>
        <w:rPr>
          <w:sz w:val="23"/>
        </w:rPr>
        <w:t>Do not expose terminal hostname, API key, org_id, request IDs, or .env values.</w:t>
      </w:r>
    </w:p>
    <w:p>
      <w:pPr>
        <w:pStyle w:val="ListBullet"/>
      </w:pPr>
      <w:r>
        <w:rPr>
          <w:sz w:val="23"/>
        </w:rPr>
        <w:t>Do not claim signing or Merkle commitment unless actually performed.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9432"/>
      </w:tblGrid>
      <w:tr>
        <w:tc>
          <w:tcPr>
            <w:tcW w:type="dxa" w:w="5227"/>
            <w:shd w:fill="B89B4A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FINAL LINE</w:t>
            </w:r>
          </w:p>
        </w:tc>
        <w:tc>
          <w:tcPr>
            <w:tcW w:type="dxa" w:w="5227"/>
            <w:shd w:fill="F7F4EA"/>
            <w:tcMar>
              <w:top w:w="90" w:type="dxa"/>
              <w:start w:w="125" w:type="dxa"/>
              <w:bottom w:w="90" w:type="dxa"/>
              <w:end w:w="125" w:type="dxa"/>
            </w:tcMar>
          </w:tcPr>
          <w:p>
            <w:pPr>
              <w:spacing w:after="0"/>
            </w:pPr>
            <w:r>
              <w:rPr>
                <w:color w:val="1A1A1A"/>
                <w:sz w:val="21"/>
              </w:rPr>
              <w:t>“HydraDG is not a leaderboard claim. It is a governed memory experiment: change state, find the first divergence, preserve custody, test recovery, and retain positive, null, negative, failed, timeout, and abstaining evidence in the same graph.”</w:t>
            </w:r>
          </w:p>
        </w:tc>
      </w:tr>
    </w:tbl>
    <w:p>
      <w:pPr>
        <w:spacing w:after="0" w:before="0" w:line="72" w:lineRule="auto"/>
      </w:pPr>
    </w:p>
    <w:sectPr w:rsidR="00FC693F" w:rsidRPr="0006063C" w:rsidSect="00034616">
      <w:footerReference w:type="default" r:id="rId9"/>
      <w:pgSz w:w="12240" w:h="15840"/>
      <w:pgMar w:top="720" w:right="893" w:bottom="72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5B5B"/>
        <w:sz w:val="16"/>
      </w:rPr>
      <w:t>HydraDG Judge Video Guide · Golden Path 01-08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Title">
    <w:name w:val="GuideTitle"/>
    <w:pPr>
      <w:spacing w:after="60"/>
    </w:pPr>
    <w:rPr>
      <w:rFonts w:ascii="Aptos" w:hAnsi="Aptos"/>
      <w:b/>
      <w:color w:val="1A1A1A"/>
      <w:sz w:val="54"/>
    </w:rPr>
  </w:style>
  <w:style w:type="paragraph" w:customStyle="1" w:styleId="GuideSub">
    <w:name w:val="GuideSub"/>
    <w:pPr>
      <w:spacing w:after="60"/>
    </w:pPr>
    <w:rPr>
      <w:rFonts w:ascii="Aptos" w:hAnsi="Aptos"/>
      <w:b w:val="0"/>
      <w:color w:val="5B5B5B"/>
      <w:sz w:val="21"/>
    </w:rPr>
  </w:style>
  <w:style w:type="paragraph" w:customStyle="1" w:styleId="StepTitle">
    <w:name w:val="StepTitle"/>
    <w:pPr>
      <w:spacing w:after="60"/>
    </w:pPr>
    <w:rPr>
      <w:rFonts w:ascii="Aptos" w:hAnsi="Aptos"/>
      <w:b/>
      <w:color w:val="B89B4A"/>
      <w:sz w:val="44"/>
    </w:rPr>
  </w:style>
  <w:style w:type="paragraph" w:customStyle="1" w:styleId="StepMeta">
    <w:name w:val="StepMeta"/>
    <w:pPr>
      <w:spacing w:after="60"/>
    </w:pPr>
    <w:rPr>
      <w:rFonts w:ascii="Aptos" w:hAnsi="Aptos"/>
      <w:b/>
      <w:color w:val="B89B4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