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~200 signatures/second; liboqs verifies ~53,500/second on the same hardware — roughly a 267x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v2.2.6,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which of SQLite's write path, network I/O, or rate-limiting logic becomes the next real ceiling under sustained, multi-process production load remains to be measured rather than assumed.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2026-07-17T21:26:57.043Z</dcterms:created>
  <dcterms:modified xsi:type="dcterms:W3CDTF">2026-07-17T21:26:57.064Z</dcterms:modified>
</cp:coreProperties>
</file>

<file path=docProps/custom.xml><?xml version="1.0" encoding="utf-8"?>
<Properties xmlns="http://schemas.openxmlformats.org/officeDocument/2006/custom-properties" xmlns:vt="http://schemas.openxmlformats.org/officeDocument/2006/docPropsVTypes"/>
</file>