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BIOCHAIN</w:t>
      </w:r>
    </w:p>
    <w:p>
      <w:pPr>
        <w:spacing w:after="300"/>
        <w:jc w:val="center"/>
      </w:pPr>
      <w:r>
        <w:rPr>
          <w:rFonts w:ascii="Calibri" w:cs="Calibri" w:eastAsia="Calibri" w:hAnsi="Calibri"/>
          <w:i/>
          <w:iCs/>
          <w:sz w:val="24"/>
          <w:szCs w:val="24"/>
        </w:rPr>
        <w:t xml:space="preserve">AAECN — Autonomous Adaptive Emergent Consensus Network</w:t>
      </w:r>
    </w:p>
    <w:p>
      <w:pPr>
        <w:spacing w:after="100"/>
        <w:jc w:val="center"/>
      </w:pPr>
      <w:r>
        <w:rPr>
          <w:rFonts w:ascii="Calibri" w:cs="Calibri" w:eastAsia="Calibri" w:hAnsi="Calibri"/>
          <w:b/>
          <w:bCs/>
          <w:sz w:val="30"/>
          <w:szCs w:val="30"/>
        </w:rPr>
        <w:t xml:space="preserve">WHITEPAPER v5.40</w:t>
      </w:r>
    </w:p>
    <w:p>
      <w:pPr>
        <w:spacing w:after="300"/>
        <w:jc w:val="center"/>
      </w:pPr>
      <w:r>
        <w:rPr>
          <w:rFonts w:ascii="Calibri" w:cs="Calibri" w:eastAsia="Calibri" w:hAnsi="Calibri"/>
          <w:sz w:val="22"/>
          <w:szCs w:val="22"/>
        </w:rPr>
        <w:t xml:space="preserve">Post-Quantum Blockchain with Organic Node Emergence, Integer Money, and Production Infrastructure</w:t>
      </w:r>
    </w:p>
    <w:p>
      <w:pPr>
        <w:spacing w:after="100"/>
        <w:jc w:val="center"/>
      </w:pPr>
      <w:r>
        <w:rPr>
          <w:rFonts w:ascii="Calibri" w:cs="Calibri" w:eastAsia="Calibri" w:hAnsi="Calibri"/>
          <w:b/>
          <w:bCs/>
          <w:sz w:val="22"/>
          <w:szCs w:val="22"/>
        </w:rPr>
        <w:t xml:space="preserve">Liberis et Dignis</w:t>
      </w:r>
    </w:p>
    <w:p>
      <w:pPr>
        <w:spacing w:after="100"/>
        <w:jc w:val="center"/>
      </w:pPr>
      <w:r>
        <w:rPr>
          <w:rFonts w:ascii="Calibri" w:cs="Calibri" w:eastAsia="Calibri" w:hAnsi="Calibri"/>
          <w:sz w:val="18"/>
          <w:szCs w:val="18"/>
        </w:rPr>
        <w:t xml:space="preserve">SPDX-License-Identifier: AGPL-3.0-or-later (backend) / Apache-2.0 (wallet)</w:t>
      </w:r>
    </w:p>
    <w:p>
      <w:pPr>
        <w:spacing w:after="400"/>
        <w:jc w:val="center"/>
      </w:pPr>
      <w:r>
        <w:rPr>
          <w:rFonts w:ascii="Calibri" w:cs="Calibri" w:eastAsia="Calibri" w:hAnsi="Calibri"/>
          <w:i/>
          <w:iCs/>
          <w:sz w:val="18"/>
          <w:szCs w:val="18"/>
        </w:rPr>
        <w:t xml:space="preserve">July 2026 · genesis on the v5.34 integer-money baseline · HTLC swaps live as of v5.37 · checkpoints as of v5.38 · first production server live as of v5.39 · operationally hardened as of v5.40</w:t>
      </w:r>
    </w:p>
    <w:p>
      <w:pPr>
        <w:pStyle w:val="Heading1"/>
        <w:spacing w:after="200" w:before="400"/>
      </w:pPr>
      <w:r>
        <w:t xml:space="preserve">1. Abstract</w:t>
      </w:r>
    </w:p>
    <w:p>
      <w:pPr>
        <w:spacing w:after="160"/>
      </w:pPr>
      <w:r>
        <w:rPr>
          <w:rFonts w:ascii="Calibri" w:cs="Calibri" w:eastAsia="Calibri" w:hAnsi="Calibri"/>
          <w:sz w:val="22"/>
          <w:szCs w:val="22"/>
        </w:rPr>
        <w:t xml:space="preserve">BioChain (AAECN — Autonomous Adaptive Emergent Consensus Network) is a post-quantum blockchain where nodes are not registered, deployed, or pre-defined. They emerge organically from participant activity. An address that sends 21 impulses (transactions) automatically becomes a live network node; without continued activity its energy decays and it dies; new impulses revive it.</w:t>
      </w:r>
    </w:p>
    <w:p>
      <w:pPr>
        <w:spacing w:after="160"/>
      </w:pPr>
      <w:r>
        <w:rPr>
          <w:rFonts w:ascii="Calibri" w:cs="Calibri" w:eastAsia="Calibri" w:hAnsi="Calibri"/>
          <w:sz w:val="22"/>
          <w:szCs w:val="22"/>
        </w:rPr>
        <w:t xml:space="preserve">All signatures use ML-DSA-44 (CRYSTALS-Dilithium3), the NIST-standardised post-quantum digital signature scheme. A 21-million BIO hard cap, deterministic halving, per-address nonce replay protection, fully atomic block application, and pure integer money arithmetic make BioChain resistant both to the quantum threat that will eventually obsolete every ECDSA-based network and to the silent value drift that floating-point accounting introduces.</w:t>
      </w:r>
    </w:p>
    <w:p>
      <w:pPr>
        <w:spacing w:after="160"/>
      </w:pPr>
      <w:r>
        <w:rPr>
          <w:rFonts w:ascii="Calibri" w:cs="Calibri" w:eastAsia="Calibri" w:hAnsi="Calibri"/>
          <w:sz w:val="22"/>
          <w:szCs w:val="22"/>
        </w:rPr>
        <w:t xml:space="preserve">As of v5.37, BioChain supports custody-free atomic swaps between BIO and any external asset via hash-time-locked contracts. As of v5.38, full state checkpoints let a new node adopt a hash-verified snapshot and skip replaying the entire chain. As of v5.39, the network's first production server is live at biochainnetwork.com, running the C-optimised liboqs signature backend behind TLS, measured at close to 1,000 transactions per second on modest commodity hardware — a ~25x throughput gain over the pure-Python reference implementation used during on-device development, achieved without any change to consensus logic. As of v5.40, that server runs as a supervised, auto-restarting service with its database backed up on a fixed schedule and its API no longer directly reachable from outside the TLS proxy — the difference between a demonstration and something meant to keep running.</w:t>
      </w:r>
    </w:p>
    <w:p>
      <w:pPr>
        <w:spacing w:after="160"/>
      </w:pPr>
      <w:r>
        <w:rPr>
          <w:rFonts w:ascii="Calibri" w:cs="Calibri" w:eastAsia="Calibri" w:hAnsi="Calibri"/>
          <w:sz w:val="22"/>
          <w:szCs w:val="22"/>
        </w:rPr>
        <w:t xml:space="preserve">The result is a self-regulating, decade-stable economic platform whose goal is meaningful participation, not speculative accumulation.</w:t>
      </w:r>
    </w:p>
    <w:p>
      <w:pPr>
        <w:pStyle w:val="Heading1"/>
        <w:spacing w:after="200" w:before="400"/>
      </w:pPr>
      <w:r>
        <w:t xml:space="preserve">2. Motivation and Design Principles</w:t>
      </w:r>
    </w:p>
    <w:p>
      <w:pPr>
        <w:pStyle w:val="Heading2"/>
        <w:spacing w:after="150" w:before="300"/>
      </w:pPr>
      <w:r>
        <w:t xml:space="preserve">2.1 The Quantum Threat</w:t>
      </w:r>
    </w:p>
    <w:p>
      <w:pPr>
        <w:spacing w:after="160"/>
      </w:pPr>
      <w:r>
        <w:rPr>
          <w:rFonts w:ascii="Calibri" w:cs="Calibri" w:eastAsia="Calibri" w:hAnsi="Calibri"/>
          <w:sz w:val="22"/>
          <w:szCs w:val="22"/>
        </w:rPr>
        <w:t xml:space="preserve">ECDSA, the signature scheme used by Bitcoin, Ethereum, and most existing blockchains, will be broken by sufficiently powerful quantum computers running Shor's algorithm. BioChain is designed from the ground up with ML-DSA-44, giving it a structural advantage over every network that will one day require a disruptive migration.</w:t>
      </w:r>
    </w:p>
    <w:p>
      <w:pPr>
        <w:pStyle w:val="Heading2"/>
        <w:spacing w:after="150" w:before="300"/>
      </w:pPr>
      <w:r>
        <w:t xml:space="preserve">2.2 Activity Over Ownership</w:t>
      </w:r>
    </w:p>
    <w:p>
      <w:pPr>
        <w:spacing w:after="160"/>
      </w:pPr>
      <w:r>
        <w:rPr>
          <w:rFonts w:ascii="Calibri" w:cs="Calibri" w:eastAsia="Calibri" w:hAnsi="Calibri"/>
          <w:sz w:val="22"/>
          <w:szCs w:val="22"/>
        </w:rPr>
        <w:t xml:space="preserve">A node that stops sending impulses loses energy and dies. Governance weight is 1 node = 1 vote, regardless of stake tier. Capital increases block reward and validator weight, but never buys extra voting power.</w:t>
      </w:r>
    </w:p>
    <w:p>
      <w:pPr>
        <w:pStyle w:val="Heading2"/>
        <w:spacing w:after="150" w:before="300"/>
      </w:pPr>
      <w:r>
        <w:t xml:space="preserve">2.3 Long-Term Stability Over Speculation</w:t>
      </w:r>
    </w:p>
    <w:p>
      <w:pPr>
        <w:spacing w:after="160"/>
      </w:pPr>
      <w:r>
        <w:rPr>
          <w:rFonts w:ascii="Calibri" w:cs="Calibri" w:eastAsia="Calibri" w:hAnsi="Calibri"/>
          <w:sz w:val="22"/>
          <w:szCs w:val="22"/>
        </w:rPr>
        <w:t xml:space="preserve">Every parameter is calibrated for a network that must still be coherent in 2040, not for a speculative instrument measured in quarters.</w:t>
      </w:r>
    </w:p>
    <w:p>
      <w:pPr>
        <w:pStyle w:val="Heading2"/>
        <w:spacing w:after="150" w:before="300"/>
      </w:pPr>
      <w:r>
        <w:t xml:space="preserve">2.4 No Single Point of Control</w:t>
      </w:r>
    </w:p>
    <w:p>
      <w:pPr>
        <w:spacing w:after="160"/>
      </w:pPr>
      <w:r>
        <w:rPr>
          <w:rFonts w:ascii="Calibri" w:cs="Calibri" w:eastAsia="Calibri" w:hAnsi="Calibri"/>
          <w:sz w:val="22"/>
          <w:szCs w:val="22"/>
        </w:rPr>
        <w:t xml:space="preserve">There is no admin key, no privileged account, no upgrade proxy. The developer address receives a 5% vesting allocation subject to a 6-month cliff and a crisis pause. Slashing, parameter changes, and exchange listing rewards are executed exclusively through governance vote.</w:t>
      </w:r>
    </w:p>
    <w:p>
      <w:pPr>
        <w:pStyle w:val="Heading1"/>
        <w:spacing w:after="200" w:before="400"/>
      </w:pPr>
      <w:r>
        <w:t xml:space="preserve">3. Technical Architecture</w:t>
      </w:r>
    </w:p>
    <w:p>
      <w:pPr>
        <w:pStyle w:val="Heading2"/>
        <w:spacing w:after="150" w:before="300"/>
      </w:pPr>
      <w:r>
        <w:t xml:space="preserve">3.1 Post-Quantum Signatures (ML-DSA-44)</w:t>
      </w:r>
    </w:p>
    <w:p>
      <w:pPr>
        <w:spacing w:after="160"/>
      </w:pPr>
      <w:r>
        <w:rPr>
          <w:rFonts w:ascii="Calibri" w:cs="Calibri" w:eastAsia="Calibri" w:hAnsi="Calibri"/>
          <w:sz w:val="22"/>
          <w:szCs w:val="22"/>
        </w:rPr>
        <w:t xml:space="preserve">Every fund- and governance-affecting request requires a valid ML-DSA-44 signature. The server verifies request freshness, public-key-to-address binding via SHA3-256, signature validity, and a strictly increasing nonce. Replay is impossible across any number of independent servers because the nonce is part of the signed message itself.</w:t>
      </w:r>
    </w:p>
    <w:p>
      <w:pPr>
        <w:spacing w:after="160"/>
      </w:pPr>
      <w:r>
        <w:rPr>
          <w:rFonts w:ascii="Calibri" w:cs="Calibri" w:eastAsia="Calibri" w:hAnsi="Calibri"/>
          <w:sz w:val="22"/>
          <w:szCs w:val="22"/>
        </w:rPr>
        <w:t xml:space="preserve">Address format: BIO1 + first 16 hex characters of SHA3-256(public key).</w:t>
      </w:r>
    </w:p>
    <w:p>
      <w:pPr>
        <w:pStyle w:val="Heading2"/>
        <w:spacing w:after="150" w:before="300"/>
      </w:pPr>
      <w:r>
        <w:t xml:space="preserve">3.2 Organic Node Emergence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E8ECEF" w:val="clear"/>
          </w:tcPr>
          <w:p>
            <w:r>
              <w:rPr>
                <w:rFonts w:ascii="Calibri" w:cs="Calibri" w:eastAsia="Calibri" w:hAnsi="Calibri"/>
                <w:b/>
                <w:bCs/>
                <w:sz w:val="20"/>
                <w:szCs w:val="20"/>
              </w:rPr>
              <w:t xml:space="preserve">Emergence threshold</w:t>
            </w:r>
          </w:p>
        </w:tc>
        <w:tc>
          <w:tcPr>
            <w:tcW w:type="dxa" w:w="6200"/>
            <w:shd w:fill="E8ECEF" w:val="clear"/>
          </w:tcPr>
          <w:p>
            <w:r>
              <w:rPr>
                <w:rFonts w:ascii="Calibri" w:cs="Calibri" w:eastAsia="Calibri" w:hAnsi="Calibri"/>
                <w:sz w:val="20"/>
                <w:szCs w:val="20"/>
              </w:rPr>
              <w:t xml:space="preserve">21 impulses sent from an address</w:t>
            </w:r>
          </w:p>
        </w:tc>
      </w:tr>
      <w:tr>
        <w:tc>
          <w:tcPr>
            <w:tcW w:type="dxa" w:w="3200"/>
          </w:tcPr>
          <w:p>
            <w:r>
              <w:rPr>
                <w:rFonts w:ascii="Calibri" w:cs="Calibri" w:eastAsia="Calibri" w:hAnsi="Calibri"/>
                <w:b/>
                <w:bCs/>
                <w:sz w:val="20"/>
                <w:szCs w:val="20"/>
              </w:rPr>
              <w:t xml:space="preserve">Energy per impulse</w:t>
            </w:r>
          </w:p>
        </w:tc>
        <w:tc>
          <w:tcPr>
            <w:tcW w:type="dxa" w:w="6200"/>
          </w:tcPr>
          <w:p>
            <w:r>
              <w:rPr>
                <w:rFonts w:ascii="Calibri" w:cs="Calibri" w:eastAsia="Calibri" w:hAnsi="Calibri"/>
                <w:sz w:val="20"/>
                <w:szCs w:val="20"/>
              </w:rPr>
              <w:t xml:space="preserve">8.0 BIO-scale units × role bonus</w:t>
            </w:r>
          </w:p>
        </w:tc>
      </w:tr>
      <w:tr>
        <w:tc>
          <w:tcPr>
            <w:tcW w:type="dxa" w:w="3200"/>
          </w:tcPr>
          <w:p>
            <w:r>
              <w:rPr>
                <w:rFonts w:ascii="Calibri" w:cs="Calibri" w:eastAsia="Calibri" w:hAnsi="Calibri"/>
                <w:b/>
                <w:bCs/>
                <w:sz w:val="20"/>
                <w:szCs w:val="20"/>
              </w:rPr>
              <w:t xml:space="preserve">Energy decay</w:t>
            </w:r>
          </w:p>
        </w:tc>
        <w:tc>
          <w:tcPr>
            <w:tcW w:type="dxa" w:w="6200"/>
          </w:tcPr>
          <w:p>
            <w:r>
              <w:rPr>
                <w:rFonts w:ascii="Calibri" w:cs="Calibri" w:eastAsia="Calibri" w:hAnsi="Calibri"/>
                <w:sz w:val="20"/>
                <w:szCs w:val="20"/>
              </w:rPr>
              <w:t xml:space="preserve">0.02 per block</w:t>
            </w:r>
          </w:p>
        </w:tc>
      </w:tr>
      <w:tr>
        <w:tc>
          <w:tcPr>
            <w:tcW w:type="dxa" w:w="3200"/>
          </w:tcPr>
          <w:p>
            <w:r>
              <w:rPr>
                <w:rFonts w:ascii="Calibri" w:cs="Calibri" w:eastAsia="Calibri" w:hAnsi="Calibri"/>
                <w:b/>
                <w:bCs/>
                <w:sz w:val="20"/>
                <w:szCs w:val="20"/>
              </w:rPr>
              <w:t xml:space="preserve">Death</w:t>
            </w:r>
          </w:p>
        </w:tc>
        <w:tc>
          <w:tcPr>
            <w:tcW w:type="dxa" w:w="6200"/>
          </w:tcPr>
          <w:p>
            <w:r>
              <w:rPr>
                <w:rFonts w:ascii="Calibri" w:cs="Calibri" w:eastAsia="Calibri" w:hAnsi="Calibri"/>
                <w:sz w:val="20"/>
                <w:szCs w:val="20"/>
              </w:rPr>
              <w:t xml:space="preserve">energy reaches zero</w:t>
            </w:r>
          </w:p>
        </w:tc>
      </w:tr>
      <w:tr>
        <w:tc>
          <w:tcPr>
            <w:tcW w:type="dxa" w:w="3200"/>
          </w:tcPr>
          <w:p>
            <w:r>
              <w:rPr>
                <w:rFonts w:ascii="Calibri" w:cs="Calibri" w:eastAsia="Calibri" w:hAnsi="Calibri"/>
                <w:b/>
                <w:bCs/>
                <w:sz w:val="20"/>
                <w:szCs w:val="20"/>
              </w:rPr>
              <w:t xml:space="preserve">Dead 365 days without rebirth</w:t>
            </w:r>
          </w:p>
        </w:tc>
        <w:tc>
          <w:tcPr>
            <w:tcW w:type="dxa" w:w="6200"/>
          </w:tcPr>
          <w:p>
            <w:r>
              <w:rPr>
                <w:rFonts w:ascii="Calibri" w:cs="Calibri" w:eastAsia="Calibri" w:hAnsi="Calibri"/>
                <w:sz w:val="20"/>
                <w:szCs w:val="20"/>
              </w:rPr>
              <w:t xml:space="preserve">balance swept to ecosystem pool</w:t>
            </w:r>
          </w:p>
        </w:tc>
      </w:tr>
    </w:tbl>
    <w:p>
      <w:pPr>
        <w:spacing w:after="120"/>
      </w:pPr>
    </w:p>
    <w:p>
      <w:pPr>
        <w:pStyle w:val="Heading2"/>
        <w:spacing w:after="150" w:before="300"/>
      </w:pPr>
      <w:r>
        <w:t xml:space="preserve">3.3 – 3.6 Consensus Mechanics</w:t>
      </w:r>
    </w:p>
    <w:p>
      <w:pPr>
        <w:spacing w:after="160"/>
      </w:pPr>
      <w:r>
        <w:rPr>
          <w:rFonts w:ascii="Calibri" w:cs="Calibri" w:eastAsia="Calibri" w:hAnsi="Calibri"/>
          <w:sz w:val="22"/>
          <w:szCs w:val="22"/>
        </w:rPr>
        <w:t xml:space="preserve">Deterministic validator selection, fully atomic block application (single SQLite transaction under RLock on every write path), isolated-replay fork resolution, and genesis-anchored emission/vesting clocks — unchanged since v5.34 and re-validated by the full regression suite on every subsequent release, including this one.</w:t>
      </w:r>
    </w:p>
    <w:p>
      <w:pPr>
        <w:pStyle w:val="Heading2"/>
        <w:spacing w:after="150" w:before="300"/>
      </w:pPr>
      <w:r>
        <w:t xml:space="preserve">3.7 HTLC Atomic Swaps (v5.37)</w:t>
      </w:r>
    </w:p>
    <w:p>
      <w:pPr>
        <w:spacing w:after="160"/>
      </w:pPr>
      <w:r>
        <w:rPr>
          <w:rFonts w:ascii="Calibri" w:cs="Calibri" w:eastAsia="Calibri" w:hAnsi="Calibri"/>
          <w:sz w:val="22"/>
          <w:szCs w:val="22"/>
        </w:rPr>
        <w:t xml:space="preserve">Custody-free swaps between BIO and any external asset via SWAP_OFFER / SWAP_LOCK / SWAP_CLAIM / SWAP_REFUND. Consensus reads nothing from the external chain — only SHA-256 preimage comparisons and integer timestamp checks against the chain's own recorded state. Locked funds form a third supply bucket: wallets + pools + locked = 21,000,000 BIO exactly.</w:t>
      </w:r>
    </w:p>
    <w:p>
      <w:pPr>
        <w:pStyle w:val="Heading2"/>
        <w:spacing w:after="150" w:before="300"/>
      </w:pPr>
      <w:r>
        <w:t xml:space="preserve">3.8 State Checkpoints and Fast Sync (v5.38)</w:t>
      </w:r>
    </w:p>
    <w:p>
      <w:pPr>
        <w:spacing w:after="160"/>
      </w:pPr>
      <w:r>
        <w:rPr>
          <w:rFonts w:ascii="Calibri" w:cs="Calibri" w:eastAsia="Calibri" w:hAnsi="Calibri"/>
          <w:sz w:val="22"/>
          <w:szCs w:val="22"/>
        </w:rPr>
        <w:t xml:space="preserve">Full state snapshots at regular intervals let a new node adopt a hash-verified snapshot instead of replaying from genesis, falling back to full replay on any hash mismatch.</w:t>
      </w:r>
    </w:p>
    <w:p>
      <w:pPr>
        <w:pStyle w:val="Heading2"/>
        <w:spacing w:after="150" w:before="300"/>
      </w:pPr>
      <w:r>
        <w:t xml:space="preserve">3.9 Production Cryptography Backend (v5.39)</w:t>
      </w:r>
    </w:p>
    <w:p>
      <w:pPr>
        <w:spacing w:after="160"/>
      </w:pPr>
      <w:r>
        <w:rPr>
          <w:rFonts w:ascii="Calibri" w:cs="Calibri" w:eastAsia="Calibri" w:hAnsi="Calibri"/>
          <w:sz w:val="22"/>
          <w:szCs w:val="22"/>
        </w:rPr>
        <w:t xml:space="preserve">Through v5.38, every server ran ML-DSA-44 verification via dilithium_py, a pure-Python reference implementation — the correct choice for early development, where correctness and portability across ad-hoc test devices mattered more than raw speed. Profiling the on-device server under load (cProfile, real HTTP traffic, real signatures) showed dilithium_py's verify() consuming 97.6% of total request time, with every other part of the request path — database writes, rate limiting, JSON handling — together accounting for well under 1%.</w:t>
      </w:r>
    </w:p>
    <w:p>
      <w:pPr>
        <w:spacing w:after="160"/>
      </w:pPr>
      <w:r>
        <w:rPr>
          <w:rFonts w:ascii="Calibri" w:cs="Calibri" w:eastAsia="Calibri" w:hAnsi="Calibri"/>
          <w:sz w:val="22"/>
          <w:szCs w:val="22"/>
        </w:rPr>
        <w:t xml:space="preserve">v5.39 replaces the verification backend with liboqs (the C reference implementation behind the NIST ML-DSA standardisation effort itself), accessed through its official Python bindings. The change is isolated entirely inside the PQCrypto class: the wire format, address derivation, and signed-message construction are untouched, so no wallet-side change was required beyond pointing at the new server address. Cross-implementation compatibility — dilithium_py signing verified by liboqs and vice versa — was confirmed with a dedicated test harness before the swap, since the two libraries had never previously been required to agree with each other in this codebase.</w:t>
      </w:r>
    </w:p>
    <w:p>
      <w:pPr>
        <w:spacing w:after="160"/>
      </w:pPr>
      <w:r>
        <w:rPr>
          <w:rFonts w:ascii="Calibri" w:cs="Calibri" w:eastAsia="Calibri" w:hAnsi="Calibri"/>
          <w:sz w:val="22"/>
          <w:szCs w:val="22"/>
        </w:rPr>
        <w:t xml:space="preserve">Measured on the production server (Hetzner CPX21, shared vCPU, no special tuning): dilithium_py verified ~200 signatures/second; liboqs verifies ~53,500/second on the same hardware — roughly a 267x improvement in raw cryptographic throughput. End-to-end HTTP load testing (real signed transactions, full FastAPI + SQLite path, ten independent sender addresses to avoid rate-limit interference) measured close to 1,000 transactions per second sustained, versus roughly 40 tx/sec under the same test methodology on pre-migration hardware. The backend falls back to dilithium_py automatically, with a loud startup warning, if liboqs is unavailable on a given machine — there is no silent degradation.</w:t>
      </w:r>
    </w:p>
    <w:p>
      <w:pPr>
        <w:pStyle w:val="Heading2"/>
        <w:spacing w:after="150" w:before="300"/>
      </w:pPr>
      <w:r>
        <w:t xml:space="preserve">3.10 Operational Hardening (v5.40)</w:t>
      </w:r>
    </w:p>
    <w:p>
      <w:pPr>
        <w:spacing w:after="160"/>
      </w:pPr>
      <w:r>
        <w:rPr>
          <w:rFonts w:ascii="Calibri" w:cs="Calibri" w:eastAsia="Calibri" w:hAnsi="Calibri"/>
          <w:sz w:val="22"/>
          <w:szCs w:val="22"/>
        </w:rPr>
        <w:t xml:space="preserve">A working server is not yet a reliable one. v5.40 closes the three gaps between "the demo worked" and "this survives an unattended reboot": the node process previously lived only inside a manually-started terminal session, with no recovery path if that session or the machine itself restarted; the crypto-verification port (8000) remained open to the public internet even after all real traffic had been moved behind the nginx reverse proxy, an unnecessary attack surface; and the database had no automated backup at all, meaning any disk fault or operator mistake could erase the chain's entire history with no way back.</w:t>
      </w:r>
    </w:p>
    <w:p>
      <w:pPr>
        <w:spacing w:after="160"/>
      </w:pPr>
      <w:r>
        <w:rPr>
          <w:rFonts w:ascii="Calibri" w:cs="Calibri" w:eastAsia="Calibri" w:hAnsi="Calibri"/>
          <w:sz w:val="22"/>
          <w:szCs w:val="22"/>
        </w:rPr>
        <w:t xml:space="preserve">All three are now closed. The node runs as a systemd service (Restart=on-failure, enabled at boot), so it survives both crashes and full server reboots without manual intervention. The direct port to the API process is closed at the firewall; every external request now reaches the backend exclusively through the TLS-terminated nginx proxy, which is the only path that was ever meant to be public. The database is backed up on an automated schedule via sqlite3's own .backup command — a live, WAL-consistent snapshot rather than a raw file copy, which can otherwise capture a database mid-transaction — with old backups rotated out to bound disk usage.</w:t>
      </w:r>
    </w:p>
    <w:p>
      <w:pPr>
        <w:spacing w:after="160"/>
      </w:pPr>
      <w:r>
        <w:rPr>
          <w:rFonts w:ascii="Calibri" w:cs="Calibri" w:eastAsia="Calibri" w:hAnsi="Calibri"/>
          <w:sz w:val="22"/>
          <w:szCs w:val="22"/>
        </w:rPr>
        <w:t xml:space="preserve">None of this changes consensus behaviour or the wire protocol; it is entirely about the difference between a node that happens to be running and a node that keeps running.</w:t>
      </w:r>
    </w:p>
    <w:p>
      <w:pPr>
        <w:pStyle w:val="Heading1"/>
        <w:spacing w:after="200" w:before="400"/>
      </w:pPr>
      <w:r>
        <w:t xml:space="preserve">4. Tokenomics</w:t>
      </w:r>
    </w:p>
    <w:p>
      <w:pPr>
        <w:pStyle w:val="Heading2"/>
        <w:spacing w:after="150" w:before="300"/>
      </w:pPr>
      <w:r>
        <w:t xml:space="preserve">4.1 Supply Distribution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E8ECEF" w:val="clear"/>
          </w:tcPr>
          <w:p>
            <w:r>
              <w:rPr>
                <w:rFonts w:ascii="Calibri" w:cs="Calibri" w:eastAsia="Calibri" w:hAnsi="Calibri"/>
                <w:b/>
                <w:bCs/>
                <w:sz w:val="20"/>
                <w:szCs w:val="20"/>
              </w:rPr>
              <w:t xml:space="preserve">Validators pool — 40.00%</w:t>
            </w:r>
          </w:p>
        </w:tc>
        <w:tc>
          <w:tcPr>
            <w:tcW w:type="dxa" w:w="6200"/>
            <w:shd w:fill="E8ECEF" w:val="clear"/>
          </w:tcPr>
          <w:p>
            <w:r>
              <w:rPr>
                <w:rFonts w:ascii="Calibri" w:cs="Calibri" w:eastAsia="Calibri" w:hAnsi="Calibri"/>
                <w:sz w:val="20"/>
                <w:szCs w:val="20"/>
              </w:rPr>
              <w:t xml:space="preserve">8,400,000 BIO</w:t>
            </w:r>
          </w:p>
        </w:tc>
      </w:tr>
      <w:tr>
        <w:tc>
          <w:tcPr>
            <w:tcW w:type="dxa" w:w="3200"/>
          </w:tcPr>
          <w:p>
            <w:r>
              <w:rPr>
                <w:rFonts w:ascii="Calibri" w:cs="Calibri" w:eastAsia="Calibri" w:hAnsi="Calibri"/>
                <w:b/>
                <w:bCs/>
                <w:sz w:val="20"/>
                <w:szCs w:val="20"/>
              </w:rPr>
              <w:t xml:space="preserve">Ecosystem pool — 30.00%</w:t>
            </w:r>
          </w:p>
        </w:tc>
        <w:tc>
          <w:tcPr>
            <w:tcW w:type="dxa" w:w="6200"/>
          </w:tcPr>
          <w:p>
            <w:r>
              <w:rPr>
                <w:rFonts w:ascii="Calibri" w:cs="Calibri" w:eastAsia="Calibri" w:hAnsi="Calibri"/>
                <w:sz w:val="20"/>
                <w:szCs w:val="20"/>
              </w:rPr>
              <w:t xml:space="preserve">6,300,000 BIO</w:t>
            </w:r>
          </w:p>
        </w:tc>
      </w:tr>
      <w:tr>
        <w:tc>
          <w:tcPr>
            <w:tcW w:type="dxa" w:w="3200"/>
          </w:tcPr>
          <w:p>
            <w:r>
              <w:rPr>
                <w:rFonts w:ascii="Calibri" w:cs="Calibri" w:eastAsia="Calibri" w:hAnsi="Calibri"/>
                <w:b/>
                <w:bCs/>
                <w:sz w:val="20"/>
                <w:szCs w:val="20"/>
              </w:rPr>
              <w:t xml:space="preserve">Reserve pool — 20.00%</w:t>
            </w:r>
          </w:p>
        </w:tc>
        <w:tc>
          <w:tcPr>
            <w:tcW w:type="dxa" w:w="6200"/>
          </w:tcPr>
          <w:p>
            <w:r>
              <w:rPr>
                <w:rFonts w:ascii="Calibri" w:cs="Calibri" w:eastAsia="Calibri" w:hAnsi="Calibri"/>
                <w:sz w:val="20"/>
                <w:szCs w:val="20"/>
              </w:rPr>
              <w:t xml:space="preserve">4,200,000 BIO</w:t>
            </w:r>
          </w:p>
        </w:tc>
      </w:tr>
      <w:tr>
        <w:tc>
          <w:tcPr>
            <w:tcW w:type="dxa" w:w="3200"/>
          </w:tcPr>
          <w:p>
            <w:r>
              <w:rPr>
                <w:rFonts w:ascii="Calibri" w:cs="Calibri" w:eastAsia="Calibri" w:hAnsi="Calibri"/>
                <w:b/>
                <w:bCs/>
                <w:sz w:val="20"/>
                <w:szCs w:val="20"/>
              </w:rPr>
              <w:t xml:space="preserve">Team (vesting) — 5.00%</w:t>
            </w:r>
          </w:p>
        </w:tc>
        <w:tc>
          <w:tcPr>
            <w:tcW w:type="dxa" w:w="6200"/>
          </w:tcPr>
          <w:p>
            <w:r>
              <w:rPr>
                <w:rFonts w:ascii="Calibri" w:cs="Calibri" w:eastAsia="Calibri" w:hAnsi="Calibri"/>
                <w:sz w:val="20"/>
                <w:szCs w:val="20"/>
              </w:rPr>
              <w:t xml:space="preserve">1,050,000 BIO</w:t>
            </w:r>
          </w:p>
        </w:tc>
      </w:tr>
      <w:tr>
        <w:tc>
          <w:tcPr>
            <w:tcW w:type="dxa" w:w="3200"/>
          </w:tcPr>
          <w:p>
            <w:r>
              <w:rPr>
                <w:rFonts w:ascii="Calibri" w:cs="Calibri" w:eastAsia="Calibri" w:hAnsi="Calibri"/>
                <w:b/>
                <w:bCs/>
                <w:sz w:val="20"/>
                <w:szCs w:val="20"/>
              </w:rPr>
              <w:t xml:space="preserve">Genesis grants — 3.90%</w:t>
            </w:r>
          </w:p>
        </w:tc>
        <w:tc>
          <w:tcPr>
            <w:tcW w:type="dxa" w:w="6200"/>
          </w:tcPr>
          <w:p>
            <w:r>
              <w:rPr>
                <w:rFonts w:ascii="Calibri" w:cs="Calibri" w:eastAsia="Calibri" w:hAnsi="Calibri"/>
                <w:sz w:val="20"/>
                <w:szCs w:val="20"/>
              </w:rPr>
              <w:t xml:space="preserve">820,000 BIO</w:t>
            </w:r>
          </w:p>
        </w:tc>
      </w:tr>
      <w:tr>
        <w:tc>
          <w:tcPr>
            <w:tcW w:type="dxa" w:w="3200"/>
          </w:tcPr>
          <w:p>
            <w:r>
              <w:rPr>
                <w:rFonts w:ascii="Calibri" w:cs="Calibri" w:eastAsia="Calibri" w:hAnsi="Calibri"/>
                <w:b/>
                <w:bCs/>
                <w:sz w:val="20"/>
                <w:szCs w:val="20"/>
              </w:rPr>
              <w:t xml:space="preserve">Listing reserve — 1.10%</w:t>
            </w:r>
          </w:p>
        </w:tc>
        <w:tc>
          <w:tcPr>
            <w:tcW w:type="dxa" w:w="6200"/>
          </w:tcPr>
          <w:p>
            <w:r>
              <w:rPr>
                <w:rFonts w:ascii="Calibri" w:cs="Calibri" w:eastAsia="Calibri" w:hAnsi="Calibri"/>
                <w:sz w:val="20"/>
                <w:szCs w:val="20"/>
              </w:rPr>
              <w:t xml:space="preserve">230,000 BIO</w:t>
            </w:r>
          </w:p>
        </w:tc>
      </w:tr>
      <w:tr>
        <w:tc>
          <w:tcPr>
            <w:tcW w:type="dxa" w:w="3200"/>
          </w:tcPr>
          <w:p>
            <w:r>
              <w:rPr>
                <w:rFonts w:ascii="Calibri" w:cs="Calibri" w:eastAsia="Calibri" w:hAnsi="Calibri"/>
                <w:b/>
                <w:bCs/>
                <w:sz w:val="20"/>
                <w:szCs w:val="20"/>
              </w:rPr>
              <w:t xml:space="preserve">Total — 100.00%</w:t>
            </w:r>
          </w:p>
        </w:tc>
        <w:tc>
          <w:tcPr>
            <w:tcW w:type="dxa" w:w="6200"/>
          </w:tcPr>
          <w:p>
            <w:r>
              <w:rPr>
                <w:rFonts w:ascii="Calibri" w:cs="Calibri" w:eastAsia="Calibri" w:hAnsi="Calibri"/>
                <w:sz w:val="20"/>
                <w:szCs w:val="20"/>
              </w:rPr>
              <w:t xml:space="preserve">21,000,000 BIO (hard cap, immutable)</w:t>
            </w:r>
          </w:p>
        </w:tc>
      </w:tr>
    </w:tbl>
    <w:p>
      <w:pPr>
        <w:spacing w:after="120"/>
      </w:pPr>
    </w:p>
    <w:p>
      <w:pPr>
        <w:spacing w:after="160"/>
      </w:pPr>
      <w:r>
        <w:rPr>
          <w:rFonts w:ascii="Calibri" w:cs="Calibri" w:eastAsia="Calibri" w:hAnsi="Calibri"/>
          <w:sz w:val="22"/>
          <w:szCs w:val="22"/>
        </w:rPr>
        <w:t xml:space="preserve">Funds temporarily escrowed in an open HTLC swap are not a pool allocation — they remain the property of the locking party and are counted as a third, transient supply bucket ("locked") until claimed or refunded.</w:t>
      </w:r>
    </w:p>
    <w:p>
      <w:pPr>
        <w:pStyle w:val="Heading2"/>
        <w:spacing w:after="150" w:before="300"/>
      </w:pPr>
      <w:r>
        <w:t xml:space="preserve">4.2 Emission Schedule</w:t>
      </w:r>
    </w:p>
    <w:p>
      <w:pPr>
        <w:spacing w:after="160"/>
      </w:pPr>
      <w:r>
        <w:rPr>
          <w:rFonts w:ascii="Calibri" w:cs="Calibri" w:eastAsia="Calibri" w:hAnsi="Calibri"/>
          <w:sz w:val="22"/>
          <w:szCs w:val="22"/>
        </w:rPr>
        <w:t xml:space="preserve">Block reward follows annual halvings anchored to the genesis block timestamp: 10 BIO per block initially, halving every 365 days of chain time, floored at 0.001 BIO. Transaction fees flow into the validators pool rather than being burned, funding future block rewards from real usage.</w:t>
      </w:r>
    </w:p>
    <w:p>
      <w:pPr>
        <w:pStyle w:val="Heading2"/>
        <w:spacing w:after="150" w:before="300"/>
      </w:pPr>
      <w:r>
        <w:t xml:space="preserve">4.3 Fee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E8ECEF" w:val="clear"/>
          </w:tcPr>
          <w:p>
            <w:r>
              <w:rPr>
                <w:rFonts w:ascii="Calibri" w:cs="Calibri" w:eastAsia="Calibri" w:hAnsi="Calibri"/>
                <w:b/>
                <w:bCs/>
                <w:sz w:val="20"/>
                <w:szCs w:val="20"/>
              </w:rPr>
              <w:t xml:space="preserve">Transfer fee</w:t>
            </w:r>
          </w:p>
        </w:tc>
        <w:tc>
          <w:tcPr>
            <w:tcW w:type="dxa" w:w="6200"/>
            <w:shd w:fill="E8ECEF" w:val="clear"/>
          </w:tcPr>
          <w:p>
            <w:r>
              <w:rPr>
                <w:rFonts w:ascii="Calibri" w:cs="Calibri" w:eastAsia="Calibri" w:hAnsi="Calibri"/>
                <w:sz w:val="20"/>
                <w:szCs w:val="20"/>
              </w:rPr>
              <w:t xml:space="preserve">0.01 BIO (flat) + 0.05% of value</w:t>
            </w:r>
          </w:p>
        </w:tc>
      </w:tr>
      <w:tr>
        <w:tc>
          <w:tcPr>
            <w:tcW w:type="dxa" w:w="3200"/>
          </w:tcPr>
          <w:p>
            <w:r>
              <w:rPr>
                <w:rFonts w:ascii="Calibri" w:cs="Calibri" w:eastAsia="Calibri" w:hAnsi="Calibri"/>
                <w:b/>
                <w:bCs/>
                <w:sz w:val="20"/>
                <w:szCs w:val="20"/>
              </w:rPr>
              <w:t xml:space="preserve">Stake fee</w:t>
            </w:r>
          </w:p>
        </w:tc>
        <w:tc>
          <w:tcPr>
            <w:tcW w:type="dxa" w:w="6200"/>
          </w:tcPr>
          <w:p>
            <w:r>
              <w:rPr>
                <w:rFonts w:ascii="Calibri" w:cs="Calibri" w:eastAsia="Calibri" w:hAnsi="Calibri"/>
                <w:sz w:val="20"/>
                <w:szCs w:val="20"/>
              </w:rPr>
              <w:t xml:space="preserve">1.0 BIO flat</w:t>
            </w:r>
          </w:p>
        </w:tc>
      </w:tr>
      <w:tr>
        <w:tc>
          <w:tcPr>
            <w:tcW w:type="dxa" w:w="3200"/>
          </w:tcPr>
          <w:p>
            <w:r>
              <w:rPr>
                <w:rFonts w:ascii="Calibri" w:cs="Calibri" w:eastAsia="Calibri" w:hAnsi="Calibri"/>
                <w:b/>
                <w:bCs/>
                <w:sz w:val="20"/>
                <w:szCs w:val="20"/>
              </w:rPr>
              <w:t xml:space="preserve">Unstake / Proposal / Vote</w:t>
            </w:r>
          </w:p>
        </w:tc>
        <w:tc>
          <w:tcPr>
            <w:tcW w:type="dxa" w:w="6200"/>
          </w:tcPr>
          <w:p>
            <w:r>
              <w:rPr>
                <w:rFonts w:ascii="Calibri" w:cs="Calibri" w:eastAsia="Calibri" w:hAnsi="Calibri"/>
                <w:sz w:val="20"/>
                <w:szCs w:val="20"/>
              </w:rPr>
              <w:t xml:space="preserve">Free</w:t>
            </w:r>
          </w:p>
        </w:tc>
      </w:tr>
    </w:tbl>
    <w:p>
      <w:pPr>
        <w:spacing w:after="120"/>
      </w:pPr>
    </w:p>
    <w:p>
      <w:pPr>
        <w:pStyle w:val="Heading2"/>
        <w:spacing w:after="150" w:before="300"/>
      </w:pPr>
      <w:r>
        <w:t xml:space="preserve">4.4 Integer Money</w:t>
      </w:r>
    </w:p>
    <w:p>
      <w:pPr>
        <w:spacing w:after="160"/>
      </w:pPr>
      <w:r>
        <w:rPr>
          <w:rFonts w:ascii="Calibri" w:cs="Calibri" w:eastAsia="Calibri" w:hAnsi="Calibri"/>
          <w:sz w:val="22"/>
          <w:szCs w:val="22"/>
        </w:rPr>
        <w:t xml:space="preserve">All monetary values are stored and computed as integers in satoshis (1 BIO = 100,000,000 sat). The supply invariant (wallets + pools + locked = 21,000,000 BIO) is verified with exact integer equality — any excess of even one satoshi is a detectable bug.</w:t>
      </w:r>
    </w:p>
    <w:p>
      <w:pPr>
        <w:pStyle w:val="Heading1"/>
        <w:spacing w:after="200" w:before="400"/>
      </w:pPr>
      <w:r>
        <w:t xml:space="preserve">5. Governance</w:t>
      </w:r>
    </w:p>
    <w:p>
      <w:pPr>
        <w:spacing w:after="160"/>
      </w:pPr>
      <w:r>
        <w:rPr>
          <w:rFonts w:ascii="Calibri" w:cs="Calibri" w:eastAsia="Calibri" w:hAnsi="Calibri"/>
          <w:sz w:val="22"/>
          <w:szCs w:val="22"/>
        </w:rPr>
        <w:t xml:space="preserve">Any live network node may create a proposal or vote; weight is always 1 regardless of stake tier. Proposals pass with ≥21 total votes, ≥70% FOR, and a 7-day timelock. MAX_SUPPLY, the 70% threshold, the 7-day timelock, and the 21-vote floor are constitutional and never subject to vote.</w:t>
      </w:r>
    </w:p>
    <w:p>
      <w:pPr>
        <w:pStyle w:val="Heading1"/>
        <w:spacing w:after="200" w:before="400"/>
      </w:pPr>
      <w:r>
        <w:t xml:space="preserve">6. Security Model</w:t>
      </w:r>
    </w:p>
    <w:p>
      <w:pPr>
        <w:spacing w:after="160"/>
      </w:pPr>
      <w:r>
        <w:rPr>
          <w:rFonts w:ascii="Calibri" w:cs="Calibri" w:eastAsia="Calibri" w:hAnsi="Calibri"/>
          <w:sz w:val="22"/>
          <w:szCs w:val="22"/>
        </w:rPr>
        <w:t xml:space="preserve">Per-address nonce replay protection, block rewards always independently recomputed and compared with exact integer equality (never trusted from the incoming block), monotonic chain-time bounds, a governance quorum floor that cannot itself be voted below 21, and a fully deterministic, float-free monetary consensus path. State snapshot hashes (v5.38) are recomputed locally and compared against the on-chain record before any live database is touched, so a hostile or corrupted snapshot triggers automatic fall-back to full replay rather than silent adoption.</w:t>
      </w:r>
    </w:p>
    <w:p>
      <w:pPr>
        <w:pStyle w:val="Heading1"/>
        <w:spacing w:after="200" w:before="400"/>
      </w:pPr>
      <w:r>
        <w:t xml:space="preserve">7. Longevity Rewards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E8ECEF" w:val="clear"/>
          </w:tcPr>
          <w:p>
            <w:r>
              <w:rPr>
                <w:rFonts w:ascii="Calibri" w:cs="Calibri" w:eastAsia="Calibri" w:hAnsi="Calibri"/>
                <w:b/>
                <w:bCs/>
                <w:sz w:val="20"/>
                <w:szCs w:val="20"/>
              </w:rPr>
              <w:t xml:space="preserve">6 months continuous life</w:t>
            </w:r>
          </w:p>
        </w:tc>
        <w:tc>
          <w:tcPr>
            <w:tcW w:type="dxa" w:w="6200"/>
            <w:shd w:fill="E8ECEF" w:val="clear"/>
          </w:tcPr>
          <w:p>
            <w:r>
              <w:rPr>
                <w:rFonts w:ascii="Calibri" w:cs="Calibri" w:eastAsia="Calibri" w:hAnsi="Calibri"/>
                <w:sz w:val="20"/>
                <w:szCs w:val="20"/>
              </w:rPr>
              <w:t xml:space="preserve">+10 BIO (one-time)</w:t>
            </w:r>
          </w:p>
        </w:tc>
      </w:tr>
      <w:tr>
        <w:tc>
          <w:tcPr>
            <w:tcW w:type="dxa" w:w="3200"/>
          </w:tcPr>
          <w:p>
            <w:r>
              <w:rPr>
                <w:rFonts w:ascii="Calibri" w:cs="Calibri" w:eastAsia="Calibri" w:hAnsi="Calibri"/>
                <w:b/>
                <w:bCs/>
                <w:sz w:val="20"/>
                <w:szCs w:val="20"/>
              </w:rPr>
              <w:t xml:space="preserve">12 months continuous life</w:t>
            </w:r>
          </w:p>
        </w:tc>
        <w:tc>
          <w:tcPr>
            <w:tcW w:type="dxa" w:w="6200"/>
          </w:tcPr>
          <w:p>
            <w:r>
              <w:rPr>
                <w:rFonts w:ascii="Calibri" w:cs="Calibri" w:eastAsia="Calibri" w:hAnsi="Calibri"/>
                <w:sz w:val="20"/>
                <w:szCs w:val="20"/>
              </w:rPr>
              <w:t xml:space="preserve">+100 BIO (one-time)</w:t>
            </w:r>
          </w:p>
        </w:tc>
      </w:tr>
      <w:tr>
        <w:tc>
          <w:tcPr>
            <w:tcW w:type="dxa" w:w="3200"/>
          </w:tcPr>
          <w:p>
            <w:r>
              <w:rPr>
                <w:rFonts w:ascii="Calibri" w:cs="Calibri" w:eastAsia="Calibri" w:hAnsi="Calibri"/>
                <w:b/>
                <w:bCs/>
                <w:sz w:val="20"/>
                <w:szCs w:val="20"/>
              </w:rPr>
              <w:t xml:space="preserve">Every subsequent month alive</w:t>
            </w:r>
          </w:p>
        </w:tc>
        <w:tc>
          <w:tcPr>
            <w:tcW w:type="dxa" w:w="6200"/>
          </w:tcPr>
          <w:p>
            <w:r>
              <w:rPr>
                <w:rFonts w:ascii="Calibri" w:cs="Calibri" w:eastAsia="Calibri" w:hAnsi="Calibri"/>
                <w:sz w:val="20"/>
                <w:szCs w:val="20"/>
              </w:rPr>
              <w:t xml:space="preserve">+21 BIO / month (governable)</w:t>
            </w:r>
          </w:p>
        </w:tc>
      </w:tr>
      <w:tr>
        <w:tc>
          <w:tcPr>
            <w:tcW w:type="dxa" w:w="3200"/>
          </w:tcPr>
          <w:p>
            <w:r>
              <w:rPr>
                <w:rFonts w:ascii="Calibri" w:cs="Calibri" w:eastAsia="Calibri" w:hAnsi="Calibri"/>
                <w:b/>
                <w:bCs/>
                <w:sz w:val="20"/>
                <w:szCs w:val="20"/>
              </w:rPr>
              <w:t xml:space="preserve">Death with no rebirth (365 days)</w:t>
            </w:r>
          </w:p>
        </w:tc>
        <w:tc>
          <w:tcPr>
            <w:tcW w:type="dxa" w:w="6200"/>
          </w:tcPr>
          <w:p>
            <w:r>
              <w:rPr>
                <w:rFonts w:ascii="Calibri" w:cs="Calibri" w:eastAsia="Calibri" w:hAnsi="Calibri"/>
                <w:sz w:val="20"/>
                <w:szCs w:val="20"/>
              </w:rPr>
              <w:t xml:space="preserve">Balance → ecosystem pool</w:t>
            </w:r>
          </w:p>
        </w:tc>
      </w:tr>
    </w:tbl>
    <w:p>
      <w:pPr>
        <w:spacing w:after="120"/>
      </w:pPr>
    </w:p>
    <w:p>
      <w:pPr>
        <w:pStyle w:val="Heading1"/>
        <w:spacing w:after="200" w:before="400"/>
      </w:pPr>
      <w:r>
        <w:t xml:space="preserve">8. Peer Protocol</w:t>
      </w:r>
    </w:p>
    <w:p>
      <w:pPr>
        <w:spacing w:after="160"/>
      </w:pPr>
      <w:r>
        <w:rPr>
          <w:rFonts w:ascii="Calibri" w:cs="Calibri" w:eastAsia="Calibri" w:hAnsi="Calibri"/>
          <w:sz w:val="22"/>
          <w:szCs w:val="22"/>
        </w:rPr>
        <w:t xml:space="preserve">BioChain uses a trust-content, not trust-sender model. Every block received from a peer is independently re-verified regardless of source, with isolated-replay fork resolution and, as of v5.38, hash-verified fast sync from state snapshots for new nodes.</w:t>
      </w:r>
    </w:p>
    <w:p>
      <w:pPr>
        <w:pStyle w:val="Heading1"/>
        <w:spacing w:after="200" w:before="400"/>
      </w:pPr>
      <w:r>
        <w:t xml:space="preserve">9. Implementation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E8ECEF" w:val="clear"/>
          </w:tcPr>
          <w:p>
            <w:r>
              <w:rPr>
                <w:rFonts w:ascii="Calibri" w:cs="Calibri" w:eastAsia="Calibri" w:hAnsi="Calibri"/>
                <w:b/>
                <w:bCs/>
                <w:sz w:val="20"/>
                <w:szCs w:val="20"/>
              </w:rPr>
              <w:t xml:space="preserve">Signature scheme</w:t>
            </w:r>
          </w:p>
        </w:tc>
        <w:tc>
          <w:tcPr>
            <w:tcW w:type="dxa" w:w="6200"/>
            <w:shd w:fill="E8ECEF" w:val="clear"/>
          </w:tcPr>
          <w:p>
            <w:r>
              <w:rPr>
                <w:rFonts w:ascii="Calibri" w:cs="Calibri" w:eastAsia="Calibri" w:hAnsi="Calibri"/>
                <w:sz w:val="20"/>
                <w:szCs w:val="20"/>
              </w:rPr>
              <w:t xml:space="preserve">ML-DSA-44 (CRYSTALS-Dilithium3, NIST PQC standard)</w:t>
            </w:r>
          </w:p>
        </w:tc>
      </w:tr>
      <w:tr>
        <w:tc>
          <w:tcPr>
            <w:tcW w:type="dxa" w:w="3200"/>
          </w:tcPr>
          <w:p>
            <w:r>
              <w:rPr>
                <w:rFonts w:ascii="Calibri" w:cs="Calibri" w:eastAsia="Calibri" w:hAnsi="Calibri"/>
                <w:b/>
                <w:bCs/>
                <w:sz w:val="20"/>
                <w:szCs w:val="20"/>
              </w:rPr>
              <w:t xml:space="preserve">Crypto backend (server)</w:t>
            </w:r>
          </w:p>
        </w:tc>
        <w:tc>
          <w:tcPr>
            <w:tcW w:type="dxa" w:w="6200"/>
          </w:tcPr>
          <w:p>
            <w:r>
              <w:rPr>
                <w:rFonts w:ascii="Calibri" w:cs="Calibri" w:eastAsia="Calibri" w:hAnsi="Calibri"/>
                <w:sz w:val="20"/>
                <w:szCs w:val="20"/>
              </w:rPr>
              <w:t xml:space="preserve">liboqs (C, official NIST reference implementation) via liboqs-python; dilithium_py (pure Python) retained as an automatic, loudly-logged fallback</w:t>
            </w:r>
          </w:p>
        </w:tc>
      </w:tr>
      <w:tr>
        <w:tc>
          <w:tcPr>
            <w:tcW w:type="dxa" w:w="3200"/>
          </w:tcPr>
          <w:p>
            <w:r>
              <w:rPr>
                <w:rFonts w:ascii="Calibri" w:cs="Calibri" w:eastAsia="Calibri" w:hAnsi="Calibri"/>
                <w:b/>
                <w:bCs/>
                <w:sz w:val="20"/>
                <w:szCs w:val="20"/>
              </w:rPr>
              <w:t xml:space="preserve">Backend language</w:t>
            </w:r>
          </w:p>
        </w:tc>
        <w:tc>
          <w:tcPr>
            <w:tcW w:type="dxa" w:w="6200"/>
          </w:tcPr>
          <w:p>
            <w:r>
              <w:rPr>
                <w:rFonts w:ascii="Calibri" w:cs="Calibri" w:eastAsia="Calibri" w:hAnsi="Calibri"/>
                <w:sz w:val="20"/>
                <w:szCs w:val="20"/>
              </w:rPr>
              <w:t xml:space="preserve">Python 3.14</w:t>
            </w:r>
          </w:p>
        </w:tc>
      </w:tr>
      <w:tr>
        <w:tc>
          <w:tcPr>
            <w:tcW w:type="dxa" w:w="3200"/>
          </w:tcPr>
          <w:p>
            <w:r>
              <w:rPr>
                <w:rFonts w:ascii="Calibri" w:cs="Calibri" w:eastAsia="Calibri" w:hAnsi="Calibri"/>
                <w:b/>
                <w:bCs/>
                <w:sz w:val="20"/>
                <w:szCs w:val="20"/>
              </w:rPr>
              <w:t xml:space="preserve">HTTP framework</w:t>
            </w:r>
          </w:p>
        </w:tc>
        <w:tc>
          <w:tcPr>
            <w:tcW w:type="dxa" w:w="6200"/>
          </w:tcPr>
          <w:p>
            <w:r>
              <w:rPr>
                <w:rFonts w:ascii="Calibri" w:cs="Calibri" w:eastAsia="Calibri" w:hAnsi="Calibri"/>
                <w:sz w:val="20"/>
                <w:szCs w:val="20"/>
              </w:rPr>
              <w:t xml:space="preserve">FastAPI + Uvicorn</w:t>
            </w:r>
          </w:p>
        </w:tc>
      </w:tr>
      <w:tr>
        <w:tc>
          <w:tcPr>
            <w:tcW w:type="dxa" w:w="3200"/>
          </w:tcPr>
          <w:p>
            <w:r>
              <w:rPr>
                <w:rFonts w:ascii="Calibri" w:cs="Calibri" w:eastAsia="Calibri" w:hAnsi="Calibri"/>
                <w:b/>
                <w:bCs/>
                <w:sz w:val="20"/>
                <w:szCs w:val="20"/>
              </w:rPr>
              <w:t xml:space="preserve">Database</w:t>
            </w:r>
          </w:p>
        </w:tc>
        <w:tc>
          <w:tcPr>
            <w:tcW w:type="dxa" w:w="6200"/>
          </w:tcPr>
          <w:p>
            <w:r>
              <w:rPr>
                <w:rFonts w:ascii="Calibri" w:cs="Calibri" w:eastAsia="Calibri" w:hAnsi="Calibri"/>
                <w:sz w:val="20"/>
                <w:szCs w:val="20"/>
              </w:rPr>
              <w:t xml:space="preserve">SQLite (WAL mode, NORMAL sync, RLock + atomic transactions)</w:t>
            </w:r>
          </w:p>
        </w:tc>
      </w:tr>
      <w:tr>
        <w:tc>
          <w:tcPr>
            <w:tcW w:type="dxa" w:w="3200"/>
          </w:tcPr>
          <w:p>
            <w:r>
              <w:rPr>
                <w:rFonts w:ascii="Calibri" w:cs="Calibri" w:eastAsia="Calibri" w:hAnsi="Calibri"/>
                <w:b/>
                <w:bCs/>
                <w:sz w:val="20"/>
                <w:szCs w:val="20"/>
              </w:rPr>
              <w:t xml:space="preserve">Frontend</w:t>
            </w:r>
          </w:p>
        </w:tc>
        <w:tc>
          <w:tcPr>
            <w:tcW w:type="dxa" w:w="6200"/>
          </w:tcPr>
          <w:p>
            <w:r>
              <w:rPr>
                <w:rFonts w:ascii="Calibri" w:cs="Calibri" w:eastAsia="Calibri" w:hAnsi="Calibri"/>
                <w:sz w:val="20"/>
                <w:szCs w:val="20"/>
              </w:rPr>
              <w:t xml:space="preserve">React + Vite PWA (wallet v2.2.2)</w:t>
            </w:r>
          </w:p>
        </w:tc>
      </w:tr>
      <w:tr>
        <w:tc>
          <w:tcPr>
            <w:tcW w:type="dxa" w:w="3200"/>
          </w:tcPr>
          <w:p>
            <w:r>
              <w:rPr>
                <w:rFonts w:ascii="Calibri" w:cs="Calibri" w:eastAsia="Calibri" w:hAnsi="Calibri"/>
                <w:b/>
                <w:bCs/>
                <w:sz w:val="20"/>
                <w:szCs w:val="20"/>
              </w:rPr>
              <w:t xml:space="preserve">WebAssembly PQ (client)</w:t>
            </w:r>
          </w:p>
        </w:tc>
        <w:tc>
          <w:tcPr>
            <w:tcW w:type="dxa" w:w="6200"/>
          </w:tcPr>
          <w:p>
            <w:r>
              <w:rPr>
                <w:rFonts w:ascii="Calibri" w:cs="Calibri" w:eastAsia="Calibri" w:hAnsi="Calibri"/>
                <w:sz w:val="20"/>
                <w:szCs w:val="20"/>
              </w:rPr>
              <w:t xml:space="preserve">liboqs-js for in-browser signing</w:t>
            </w:r>
          </w:p>
        </w:tc>
      </w:tr>
      <w:tr>
        <w:tc>
          <w:tcPr>
            <w:tcW w:type="dxa" w:w="3200"/>
          </w:tcPr>
          <w:p>
            <w:r>
              <w:rPr>
                <w:rFonts w:ascii="Calibri" w:cs="Calibri" w:eastAsia="Calibri" w:hAnsi="Calibri"/>
                <w:b/>
                <w:bCs/>
                <w:sz w:val="20"/>
                <w:szCs w:val="20"/>
              </w:rPr>
              <w:t xml:space="preserve">Reverse proxy / TLS</w:t>
            </w:r>
          </w:p>
        </w:tc>
        <w:tc>
          <w:tcPr>
            <w:tcW w:type="dxa" w:w="6200"/>
          </w:tcPr>
          <w:p>
            <w:r>
              <w:rPr>
                <w:rFonts w:ascii="Calibri" w:cs="Calibri" w:eastAsia="Calibri" w:hAnsi="Calibri"/>
                <w:sz w:val="20"/>
                <w:szCs w:val="20"/>
              </w:rPr>
              <w:t xml:space="preserve">nginx + Let's Encrypt (certbot), auto-renewing</w:t>
            </w:r>
          </w:p>
        </w:tc>
      </w:tr>
      <w:tr>
        <w:tc>
          <w:tcPr>
            <w:tcW w:type="dxa" w:w="3200"/>
          </w:tcPr>
          <w:p>
            <w:r>
              <w:rPr>
                <w:rFonts w:ascii="Calibri" w:cs="Calibri" w:eastAsia="Calibri" w:hAnsi="Calibri"/>
                <w:b/>
                <w:bCs/>
                <w:sz w:val="20"/>
                <w:szCs w:val="20"/>
              </w:rPr>
              <w:t xml:space="preserve">Production host</w:t>
            </w:r>
          </w:p>
        </w:tc>
        <w:tc>
          <w:tcPr>
            <w:tcW w:type="dxa" w:w="6200"/>
          </w:tcPr>
          <w:p>
            <w:r>
              <w:rPr>
                <w:rFonts w:ascii="Calibri" w:cs="Calibri" w:eastAsia="Calibri" w:hAnsi="Calibri"/>
                <w:sz w:val="20"/>
                <w:szCs w:val="20"/>
              </w:rPr>
              <w:t xml:space="preserve">Hetzner Cloud CPX21 (3 vCPU / 4GB / 80GB NVMe), Nuremberg, Ubuntu 26.04 LTS</w:t>
            </w:r>
          </w:p>
        </w:tc>
      </w:tr>
      <w:tr>
        <w:tc>
          <w:tcPr>
            <w:tcW w:type="dxa" w:w="3200"/>
          </w:tcPr>
          <w:p>
            <w:r>
              <w:rPr>
                <w:rFonts w:ascii="Calibri" w:cs="Calibri" w:eastAsia="Calibri" w:hAnsi="Calibri"/>
                <w:b/>
                <w:bCs/>
                <w:sz w:val="20"/>
                <w:szCs w:val="20"/>
              </w:rPr>
              <w:t xml:space="preserve">Domain</w:t>
            </w:r>
          </w:p>
        </w:tc>
        <w:tc>
          <w:tcPr>
            <w:tcW w:type="dxa" w:w="6200"/>
          </w:tcPr>
          <w:p>
            <w:r>
              <w:rPr>
                <w:rFonts w:ascii="Calibri" w:cs="Calibri" w:eastAsia="Calibri" w:hAnsi="Calibri"/>
                <w:sz w:val="20"/>
                <w:szCs w:val="20"/>
              </w:rPr>
              <w:t xml:space="preserve">biochainnetwork.com</w:t>
            </w:r>
          </w:p>
        </w:tc>
      </w:tr>
      <w:tr>
        <w:tc>
          <w:tcPr>
            <w:tcW w:type="dxa" w:w="3200"/>
          </w:tcPr>
          <w:p>
            <w:r>
              <w:rPr>
                <w:rFonts w:ascii="Calibri" w:cs="Calibri" w:eastAsia="Calibri" w:hAnsi="Calibri"/>
                <w:b/>
                <w:bCs/>
                <w:sz w:val="20"/>
                <w:szCs w:val="20"/>
              </w:rPr>
              <w:t xml:space="preserve">Access control</w:t>
            </w:r>
          </w:p>
        </w:tc>
        <w:tc>
          <w:tcPr>
            <w:tcW w:type="dxa" w:w="6200"/>
          </w:tcPr>
          <w:p>
            <w:r>
              <w:rPr>
                <w:rFonts w:ascii="Calibri" w:cs="Calibri" w:eastAsia="Calibri" w:hAnsi="Calibri"/>
                <w:sz w:val="20"/>
                <w:szCs w:val="20"/>
              </w:rPr>
              <w:t xml:space="preserve">SSH key-only auth, no root login, ufw firewall (only 22/80/443 open; API port closed externally)</w:t>
            </w:r>
          </w:p>
        </w:tc>
      </w:tr>
      <w:tr>
        <w:tc>
          <w:tcPr>
            <w:tcW w:type="dxa" w:w="3200"/>
          </w:tcPr>
          <w:p>
            <w:r>
              <w:rPr>
                <w:rFonts w:ascii="Calibri" w:cs="Calibri" w:eastAsia="Calibri" w:hAnsi="Calibri"/>
                <w:b/>
                <w:bCs/>
                <w:sz w:val="20"/>
                <w:szCs w:val="20"/>
              </w:rPr>
              <w:t xml:space="preserve">Process supervision</w:t>
            </w:r>
          </w:p>
        </w:tc>
        <w:tc>
          <w:tcPr>
            <w:tcW w:type="dxa" w:w="6200"/>
          </w:tcPr>
          <w:p>
            <w:r>
              <w:rPr>
                <w:rFonts w:ascii="Calibri" w:cs="Calibri" w:eastAsia="Calibri" w:hAnsi="Calibri"/>
                <w:sz w:val="20"/>
                <w:szCs w:val="20"/>
              </w:rPr>
              <w:t xml:space="preserve">systemd (auto-restart on failure, enabled at boot)</w:t>
            </w:r>
          </w:p>
        </w:tc>
      </w:tr>
      <w:tr>
        <w:tc>
          <w:tcPr>
            <w:tcW w:type="dxa" w:w="3200"/>
          </w:tcPr>
          <w:p>
            <w:r>
              <w:rPr>
                <w:rFonts w:ascii="Calibri" w:cs="Calibri" w:eastAsia="Calibri" w:hAnsi="Calibri"/>
                <w:b/>
                <w:bCs/>
                <w:sz w:val="20"/>
                <w:szCs w:val="20"/>
              </w:rPr>
              <w:t xml:space="preserve">Backups</w:t>
            </w:r>
          </w:p>
        </w:tc>
        <w:tc>
          <w:tcPr>
            <w:tcW w:type="dxa" w:w="6200"/>
          </w:tcPr>
          <w:p>
            <w:r>
              <w:rPr>
                <w:rFonts w:ascii="Calibri" w:cs="Calibri" w:eastAsia="Calibri" w:hAnsi="Calibri"/>
                <w:sz w:val="20"/>
                <w:szCs w:val="20"/>
              </w:rPr>
              <w:t xml:space="preserve">Automated sqlite3 .backup snapshots (WAL-consistent) every 6 hours, rotated</w:t>
            </w:r>
          </w:p>
        </w:tc>
      </w:tr>
      <w:tr>
        <w:tc>
          <w:tcPr>
            <w:tcW w:type="dxa" w:w="3200"/>
          </w:tcPr>
          <w:p>
            <w:r>
              <w:rPr>
                <w:rFonts w:ascii="Calibri" w:cs="Calibri" w:eastAsia="Calibri" w:hAnsi="Calibri"/>
                <w:b/>
                <w:bCs/>
                <w:sz w:val="20"/>
                <w:szCs w:val="20"/>
              </w:rPr>
              <w:t xml:space="preserve">Backend license</w:t>
            </w:r>
          </w:p>
        </w:tc>
        <w:tc>
          <w:tcPr>
            <w:tcW w:type="dxa" w:w="6200"/>
          </w:tcPr>
          <w:p>
            <w:r>
              <w:rPr>
                <w:rFonts w:ascii="Calibri" w:cs="Calibri" w:eastAsia="Calibri" w:hAnsi="Calibri"/>
                <w:sz w:val="20"/>
                <w:szCs w:val="20"/>
              </w:rPr>
              <w:t xml:space="preserve">AGPL-3.0-or-later</w:t>
            </w:r>
          </w:p>
        </w:tc>
      </w:tr>
      <w:tr>
        <w:tc>
          <w:tcPr>
            <w:tcW w:type="dxa" w:w="3200"/>
          </w:tcPr>
          <w:p>
            <w:r>
              <w:rPr>
                <w:rFonts w:ascii="Calibri" w:cs="Calibri" w:eastAsia="Calibri" w:hAnsi="Calibri"/>
                <w:b/>
                <w:bCs/>
                <w:sz w:val="20"/>
                <w:szCs w:val="20"/>
              </w:rPr>
              <w:t xml:space="preserve">Wallet license</w:t>
            </w:r>
          </w:p>
        </w:tc>
        <w:tc>
          <w:tcPr>
            <w:tcW w:type="dxa" w:w="6200"/>
          </w:tcPr>
          <w:p>
            <w:r>
              <w:rPr>
                <w:rFonts w:ascii="Calibri" w:cs="Calibri" w:eastAsia="Calibri" w:hAnsi="Calibri"/>
                <w:sz w:val="20"/>
                <w:szCs w:val="20"/>
              </w:rPr>
              <w:t xml:space="preserve">Apache-2.0</w:t>
            </w:r>
          </w:p>
        </w:tc>
      </w:tr>
    </w:tbl>
    <w:p>
      <w:pPr>
        <w:spacing w:after="120"/>
      </w:pPr>
    </w:p>
    <w:p>
      <w:pPr>
        <w:pStyle w:val="Heading1"/>
        <w:spacing w:after="200" w:before="400"/>
      </w:pPr>
      <w:r>
        <w:t xml:space="preserve">10. Roadmap</w:t>
      </w:r>
    </w:p>
    <w:p>
      <w:pPr>
        <w:pStyle w:val="Heading2"/>
        <w:spacing w:after="150" w:before="300"/>
      </w:pPr>
      <w:r>
        <w:t xml:space="preserve">Completed (through v5.40)</w:t>
      </w:r>
    </w:p>
    <w:p>
      <w:pPr>
        <w:spacing w:after="160"/>
      </w:pPr>
      <w:r>
        <w:rPr>
          <w:rFonts w:ascii="Calibri" w:cs="Calibri" w:eastAsia="Calibri" w:hAnsi="Calibri"/>
          <w:sz w:val="22"/>
          <w:szCs w:val="22"/>
        </w:rPr>
        <w:t xml:space="preserve">ML-DSA-44 signatures on all fund/governance paths; organic node lifecycle; per-address nonce replay protection; atomic block application; genesis-anchored emission/vesting; isolated-replay fork resolution; governance with proposals/voting/timelock/slash/listing reward; longevity rewards and dead-node sweep; unified fee formula; tiered stake with deterministic validator selection; integer (satoshi-scale) money with exact supply invariant; PWA wallet with real ML-DSA-44 WASM signing; 96-test regression suite (47 core + 21 HTLC + 17 checkpoints/dashboard + 11 want_asset/misc) passing on-device with genuine cryptography. v5.37 HTLC atomic swaps. v5.38 state checkpoints and open (non-Bitcoin-specific) swap assets. v5.39: first production deployment — dedicated Linux server, liboqs C signature backend (~267x verify speedup, ~1,000 tx/sec sustained end-to-end), registered domain with auto-renewing TLS, nginx reverse proxy separating public wallet traffic from the API process, SSH-key-only server access. v5.40: operational hardening — the node runs as a supervised systemd service surviving crashes and reboots without manual restart, the API's direct port is closed at the firewall now that all traffic flows through the TLS proxy, and the database is backed up automatically every 6 hours with rotation.</w:t>
      </w:r>
    </w:p>
    <w:p>
      <w:pPr>
        <w:pStyle w:val="Heading2"/>
        <w:spacing w:after="150" w:before="300"/>
      </w:pPr>
      <w:r>
        <w:t xml:space="preserve">Near-term</w:t>
      </w:r>
    </w:p>
    <w:p>
      <w:pPr>
        <w:spacing w:after="160"/>
      </w:pPr>
      <w:r>
        <w:rPr>
          <w:rFonts w:ascii="Calibri" w:cs="Calibri" w:eastAsia="Calibri" w:hAnsi="Calibri"/>
          <w:sz w:val="22"/>
          <w:szCs w:val="22"/>
        </w:rPr>
        <w:t xml:space="preserve">The server currently runs as a single, standalone node — production deployment has validated the crypto and infrastructure layers, but the peer-to-peer protocol (fork resolution, cross-node verification, fast sync from a peer's snapshot) as specified in section 8 has not yet been exercised against a second independently-operated node. Standing up a second production server to test real synchronization is the next concrete milestone, not just added capacity. Alongside that: multi-process horizontal scaling now that the crypto bottleneck is resolved and SQLite write throughput is the next limiting factor to characterise under real multi-node load; deeper BIP-199 PSBT integration for the Bitcoin-side HTLC leg; additional governable parameters as swap and checkpoint features mature in production.</w:t>
      </w:r>
    </w:p>
    <w:p>
      <w:pPr>
        <w:pStyle w:val="Heading2"/>
        <w:spacing w:after="150" w:before="300"/>
      </w:pPr>
      <w:r>
        <w:t xml:space="preserve">Medium-term</w:t>
      </w:r>
    </w:p>
    <w:p>
      <w:pPr>
        <w:spacing w:after="160"/>
      </w:pPr>
      <w:r>
        <w:rPr>
          <w:rFonts w:ascii="Calibri" w:cs="Calibri" w:eastAsia="Calibri" w:hAnsi="Calibri"/>
          <w:sz w:val="22"/>
          <w:szCs w:val="22"/>
        </w:rPr>
        <w:t xml:space="preserve">Bridge research remains deferred: ML-DSA-44 signature size makes on-chain EVM verification expensive, and HTLC swaps already deliver custody-free interoperability without a bridge's trust assumptions. Validator grinding mitigation via leader election redesign.</w:t>
      </w:r>
    </w:p>
    <w:p>
      <w:pPr>
        <w:pStyle w:val="Heading1"/>
        <w:spacing w:after="200" w:before="400"/>
      </w:pPr>
      <w:r>
        <w:t xml:space="preserve">11. Open Questions</w:t>
      </w:r>
    </w:p>
    <w:p>
      <w:pPr>
        <w:spacing w:after="160"/>
      </w:pPr>
      <w:r>
        <w:rPr>
          <w:rFonts w:ascii="Calibri" w:cs="Calibri" w:eastAsia="Calibri" w:hAnsi="Calibri"/>
          <w:sz w:val="22"/>
          <w:szCs w:val="22"/>
        </w:rPr>
        <w:t xml:space="preserve">510,000 BIO of the genesis pool remains unassigned — an open question, not an oversight. Depth of Bitcoin-side PSBT tooling for the external leg of an HTLC swap is still being scoped. The peer protocol (section 8) is specified and unit-tested but has not yet run between two independently-operated production nodes — real-world fork resolution, latency, and snapshot-based fast sync behavior under an actual network partition remain to be observed rather than assumed. Long-term: how should the network govern the transition to a fully fee-funded validator pool once genesis pools exhaust? Now that per-transaction crypto cost is no longer dominant, which of SQLite's write path, network I/O, or rate-limiting logic becomes the next real ceiling under sustained, multi-process production load remains to be measured rather than assumed.</w:t>
      </w:r>
    </w:p>
    <w:p>
      <w:pPr>
        <w:pStyle w:val="Heading1"/>
        <w:spacing w:after="200" w:before="400"/>
      </w:pPr>
      <w:r>
        <w:t xml:space="preserve">12. Conclusion</w:t>
      </w:r>
    </w:p>
    <w:p>
      <w:pPr>
        <w:spacing w:after="160"/>
      </w:pPr>
      <w:r>
        <w:rPr>
          <w:rFonts w:ascii="Calibri" w:cs="Calibri" w:eastAsia="Calibri" w:hAnsi="Calibri"/>
          <w:sz w:val="22"/>
          <w:szCs w:val="22"/>
        </w:rPr>
        <w:t xml:space="preserve">BioChain is the first blockchain to combine post-quantum signatures with organic, activity-driven node emergence on a fully integer monetary core, and — as of v5.39 — the first version of it running in production, on real infrastructure, behind a real domain and a real TLS certificate, at throughput two orders of magnitude above where on-device testing began. It is not a fork, not an EVM rollup, and not a speculative instrument. It is an independent L1 designed for decade-scale stability, where nodes live and die by the activity of real participants, governance belongs to those who show up, and the economic constants are calibrated against the quantum threat that will eventually obsolete every ECDSA-based network.</w:t>
      </w:r>
    </w:p>
    <w:p>
      <w:pPr>
        <w:spacing w:after="160"/>
      </w:pPr>
      <w:r>
        <w:rPr>
          <w:rFonts w:ascii="Calibri" w:cs="Calibri" w:eastAsia="Calibri" w:hAnsi="Calibri"/>
          <w:sz w:val="22"/>
          <w:szCs w:val="22"/>
        </w:rPr>
        <w:t xml:space="preserve">The mission is a decentralised economic platform of the future, not a platform for speculation. The proof is in the chain — and now, in the server.</w:t>
      </w:r>
    </w:p>
    <w:p>
      <w:pPr>
        <w:spacing w:after="120"/>
      </w:pPr>
    </w:p>
    <w:p>
      <w:pPr>
        <w:jc w:val="center"/>
      </w:pPr>
      <w:r>
        <w:rPr>
          <w:rFonts w:ascii="Calibri" w:cs="Calibri" w:eastAsia="Calibri" w:hAnsi="Calibri"/>
          <w:b/>
          <w:bCs/>
          <w:sz w:val="22"/>
          <w:szCs w:val="22"/>
        </w:rPr>
        <w:t xml:space="preserve">Liberis et Dignis</w:t>
      </w:r>
    </w:p>
    <w:p>
      <w:pPr>
        <w:jc w:val="center"/>
      </w:pPr>
      <w:r>
        <w:rPr>
          <w:rFonts w:ascii="Calibri" w:cs="Calibri" w:eastAsia="Calibri" w:hAnsi="Calibri"/>
          <w:sz w:val="20"/>
          <w:szCs w:val="20"/>
        </w:rPr>
        <w:t xml:space="preserve">BioChain AAECN v5.40 · July 2026 · biochainnetwork.com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2026-07-10T20:16:41.561Z</dcterms:created>
  <dcterms:modified xsi:type="dcterms:W3CDTF">2026-07-10T20:16:41.582Z</dcterms:modified>
</cp:coreProperties>
</file>

<file path=docProps/custom.xml><?xml version="1.0" encoding="utf-8"?>
<Properties xmlns="http://schemas.openxmlformats.org/officeDocument/2006/custom-properties" xmlns:vt="http://schemas.openxmlformats.org/officeDocument/2006/docPropsVTypes"/>
</file>