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rPr>
        <w:t xml:space="preserve">BIOCHAIN</w:t>
      </w:r>
    </w:p>
    <w:p>
      <w:pPr>
        <w:spacing w:after="300"/>
        <w:jc w:val="center"/>
      </w:pPr>
      <w:r>
        <w:rPr>
          <w:i/>
          <w:iCs/>
        </w:rPr>
        <w:t xml:space="preserve">AAECN — Autonomous Adaptive Emergent Consensus Network</w:t>
      </w:r>
    </w:p>
    <w:p>
      <w:pPr>
        <w:spacing w:after="100"/>
        <w:jc w:val="center"/>
      </w:pPr>
      <w:r>
        <w:rPr>
          <w:b/>
          <w:bCs/>
        </w:rPr>
        <w:t xml:space="preserve">WHITEPAPER v5.40</w:t>
      </w:r>
    </w:p>
    <w:p>
      <w:pPr>
        <w:spacing w:after="200"/>
        <w:jc w:val="center"/>
      </w:pPr>
      <w:r>
        <w:t xml:space="preserve">Post-Quantum Blockchain with Organic Node Emergence, Integer Money, and Production Infrastructure</w:t>
      </w:r>
    </w:p>
    <w:p>
      <w:pPr>
        <w:spacing w:after="200"/>
        <w:jc w:val="center"/>
      </w:pPr>
      <w:r>
        <w:t xml:space="preserve">SPDX-License-Identifier: AGPL-3.0-or-later (backend) / Apache-2.0 (wallet)</w:t>
      </w:r>
    </w:p>
    <w:p>
      <w:pPr>
        <w:spacing w:after="400"/>
        <w:jc w:val="center"/>
      </w:pPr>
      <w:r>
        <w:rPr>
          <w:i/>
          <w:iCs/>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w:t>
      </w:r>
    </w:p>
    <w:p>
      <w:pPr>
        <w:pStyle w:val="Heading1"/>
        <w:spacing w:after="200" w:before="400"/>
      </w:pPr>
      <w:r>
        <w:t xml:space="preserve">1. Abstract</w:t>
      </w:r>
    </w:p>
    <w:p>
      <w:pPr>
        <w:spacing w:after="200"/>
      </w:pPr>
      <w: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200"/>
      </w:pPr>
      <w: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200"/>
      </w:pPr>
      <w: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200"/>
      </w:pPr>
      <w: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w:t>
      </w:r>
    </w:p>
    <w:p>
      <w:pPr>
        <w:spacing w:after="200"/>
      </w:pPr>
      <w:r>
        <w:t xml:space="preserve">The result is a self-regulating, decade-stable economic platform whose goal is meaningful participation, not speculative accumulation.</w:t>
      </w:r>
    </w:p>
    <w:p>
      <w:pPr>
        <w:pStyle w:val="Heading1"/>
        <w:spacing w:after="200" w:before="400"/>
      </w:pPr>
      <w:r>
        <w:t xml:space="preserve">2. Motivation and Design Principles</w:t>
      </w:r>
    </w:p>
    <w:p>
      <w:pPr>
        <w:pStyle w:val="Heading2"/>
        <w:spacing w:after="150" w:before="300"/>
      </w:pPr>
      <w:r>
        <w:t xml:space="preserve">2.1 The Quantum Threat</w:t>
      </w:r>
    </w:p>
    <w:p>
      <w:pPr>
        <w:spacing w:after="200"/>
      </w:pPr>
      <w: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50" w:before="300"/>
      </w:pPr>
      <w:r>
        <w:t xml:space="preserve">2.2 Activity Over Ownership</w:t>
      </w:r>
    </w:p>
    <w:p>
      <w:pPr>
        <w:spacing w:after="200"/>
      </w:pPr>
      <w: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50" w:before="300"/>
      </w:pPr>
      <w:r>
        <w:t xml:space="preserve">2.3 Long-Term Stability Over Speculation</w:t>
      </w:r>
    </w:p>
    <w:p>
      <w:pPr>
        <w:spacing w:after="200"/>
      </w:pPr>
      <w:r>
        <w:t xml:space="preserve">Every parameter is calibrated for a network that must still be coherent in 2040, not for a speculative instrument measured in quarters. Founder vesting spans 10 years for the same reason — see section 4.5.</w:t>
      </w:r>
    </w:p>
    <w:p>
      <w:pPr>
        <w:pStyle w:val="Heading2"/>
        <w:spacing w:after="150" w:before="300"/>
      </w:pPr>
      <w:r>
        <w:t xml:space="preserve">2.4 No Single Point of Control</w:t>
      </w:r>
    </w:p>
    <w:p>
      <w:pPr>
        <w:spacing w:after="200"/>
      </w:pPr>
      <w:r>
        <w:t xml:space="preserve">There is no admin key, no privileged account, no upgrade proxy. The developer address receives a 5% vesting allocation subject to a 6-month cliff, a 10-year payout schedule, and a crisis pause. Slashing, parameter changes, exchange listing rewards, and developer grants are executed exclusively through governance vote.</w:t>
      </w:r>
    </w:p>
    <w:p>
      <w:pPr>
        <w:pStyle w:val="Heading1"/>
        <w:spacing w:after="200" w:before="400"/>
      </w:pPr>
      <w:r>
        <w:t xml:space="preserve">3. Technical Architecture</w:t>
      </w:r>
    </w:p>
    <w:p>
      <w:pPr>
        <w:pStyle w:val="Heading2"/>
        <w:spacing w:after="150" w:before="300"/>
      </w:pPr>
      <w:r>
        <w:t xml:space="preserve">3.1 Post-Quantum Signatures (ML-DSA-44)</w:t>
      </w:r>
    </w:p>
    <w:p>
      <w:pPr>
        <w:spacing w:after="200"/>
      </w:pPr>
      <w: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200"/>
      </w:pPr>
      <w:r>
        <w:t xml:space="preserve">Address format: BIO1 + first 16 hex characters of SHA3-256(public key).</w:t>
      </w:r>
    </w:p>
    <w:p>
      <w:pPr>
        <w:pStyle w:val="Heading2"/>
        <w:spacing w:after="150" w:before="30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rPr>
              <w:t xml:space="preserve">Parameter</w:t>
            </w:r>
          </w:p>
        </w:tc>
        <w:tc>
          <w:tcPr>
            <w:tcW w:type="dxa" w:w="4500"/>
            <w:shd w:fill="E8E8E8" w:val="clear"/>
          </w:tcPr>
          <w:p>
            <w:r>
              <w:rPr>
                <w:b/>
                <w:bCs/>
              </w:rPr>
              <w:t xml:space="preserve">Value</w:t>
            </w:r>
          </w:p>
        </w:tc>
      </w:tr>
      <w:tr>
        <w:tc>
          <w:tcPr>
            <w:tcW w:type="dxa" w:w="4500"/>
          </w:tcPr>
          <w:p>
            <w:r>
              <w:t xml:space="preserve">Emergence threshold</w:t>
            </w:r>
          </w:p>
        </w:tc>
        <w:tc>
          <w:tcPr>
            <w:tcW w:type="dxa" w:w="4500"/>
          </w:tcPr>
          <w:p>
            <w:r>
              <w:t xml:space="preserve">21 impulses sent from an address</w:t>
            </w:r>
          </w:p>
        </w:tc>
      </w:tr>
      <w:tr>
        <w:tc>
          <w:tcPr>
            <w:tcW w:type="dxa" w:w="4500"/>
          </w:tcPr>
          <w:p>
            <w:r>
              <w:t xml:space="preserve">Minimum time span (v5.40)</w:t>
            </w:r>
          </w:p>
        </w:tc>
        <w:tc>
          <w:tcPr>
            <w:tcW w:type="dxa" w:w="4500"/>
          </w:tcPr>
          <w:p>
            <w:r>
              <w:t xml:space="preserve">≥ 7 real days between first activity and the 21st impulse — Sybil-resistance</w:t>
            </w:r>
          </w:p>
        </w:tc>
      </w:tr>
      <w:tr>
        <w:tc>
          <w:tcPr>
            <w:tcW w:type="dxa" w:w="4500"/>
          </w:tcPr>
          <w:p>
            <w:r>
              <w:t xml:space="preserve">Energy per impulse</w:t>
            </w:r>
          </w:p>
        </w:tc>
        <w:tc>
          <w:tcPr>
            <w:tcW w:type="dxa" w:w="4500"/>
          </w:tcPr>
          <w:p>
            <w:r>
              <w:t xml:space="preserve">8.0 BIO-scale units × role bonus</w:t>
            </w:r>
          </w:p>
        </w:tc>
      </w:tr>
      <w:tr>
        <w:tc>
          <w:tcPr>
            <w:tcW w:type="dxa" w:w="4500"/>
          </w:tcPr>
          <w:p>
            <w:r>
              <w:t xml:space="preserve">Energy decay</w:t>
            </w:r>
          </w:p>
        </w:tc>
        <w:tc>
          <w:tcPr>
            <w:tcW w:type="dxa" w:w="4500"/>
          </w:tcPr>
          <w:p>
            <w:r>
              <w:t xml:space="preserve">0.02 per block</w:t>
            </w:r>
          </w:p>
        </w:tc>
      </w:tr>
      <w:tr>
        <w:tc>
          <w:tcPr>
            <w:tcW w:type="dxa" w:w="4500"/>
          </w:tcPr>
          <w:p>
            <w:r>
              <w:t xml:space="preserve">Death</w:t>
            </w:r>
          </w:p>
        </w:tc>
        <w:tc>
          <w:tcPr>
            <w:tcW w:type="dxa" w:w="4500"/>
          </w:tcPr>
          <w:p>
            <w:r>
              <w:t xml:space="preserve">energy reaches zero</w:t>
            </w:r>
          </w:p>
        </w:tc>
      </w:tr>
      <w:tr>
        <w:tc>
          <w:tcPr>
            <w:tcW w:type="dxa" w:w="4500"/>
          </w:tcPr>
          <w:p>
            <w:r>
              <w:t xml:space="preserve">Dead 365 days without rebirth</w:t>
            </w:r>
          </w:p>
        </w:tc>
        <w:tc>
          <w:tcPr>
            <w:tcW w:type="dxa" w:w="4500"/>
          </w:tcPr>
          <w:p>
            <w:r>
              <w:t xml:space="preserve">balance swept to ecosystem pool</w:t>
            </w:r>
          </w:p>
        </w:tc>
      </w:tr>
    </w:tbl>
    <w:p>
      <w:pPr>
        <w:spacing w:after="200"/>
      </w:pPr>
      <w: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50" w:before="300"/>
      </w:pPr>
      <w:r>
        <w:t xml:space="preserve">3.2a Node Discovery and Self-Announcement (v5.40)</w:t>
      </w:r>
    </w:p>
    <w:p>
      <w:pPr>
        <w:spacing w:after="200"/>
      </w:pPr>
      <w: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200"/>
      </w:pPr>
      <w: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50" w:before="300"/>
      </w:pPr>
      <w:r>
        <w:t xml:space="preserve">3.3 – 3.6 Consensus Mechanics</w:t>
      </w:r>
    </w:p>
    <w:p>
      <w:pPr>
        <w:spacing w:after="200"/>
      </w:pPr>
      <w: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50" w:before="300"/>
      </w:pPr>
      <w:r>
        <w:t xml:space="preserve">3.7 HTLC Atomic Swaps (v5.37)</w:t>
      </w:r>
    </w:p>
    <w:p>
      <w:pPr>
        <w:spacing w:after="200"/>
      </w:pPr>
      <w: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50" w:before="300"/>
      </w:pPr>
      <w:r>
        <w:t xml:space="preserve">3.8 State Checkpoints and Fast Sync (v5.38)</w:t>
      </w:r>
    </w:p>
    <w:p>
      <w:pPr>
        <w:spacing w:after="200"/>
      </w:pPr>
      <w:r>
        <w:t xml:space="preserve">Full state snapshots at regular intervals let a new node adopt a hash-verified snapshot instead of replaying from genesis, falling back to full replay on any hash mismatch.</w:t>
      </w:r>
    </w:p>
    <w:p>
      <w:pPr>
        <w:pStyle w:val="Heading2"/>
        <w:spacing w:after="150" w:before="300"/>
      </w:pPr>
      <w:r>
        <w:t xml:space="preserve">3.9 Production Cryptography Backend (v5.39)</w:t>
      </w:r>
    </w:p>
    <w:p>
      <w:pPr>
        <w:spacing w:after="200"/>
      </w:pPr>
      <w:r>
        <w:t xml:space="preserve">v5.39 replaced the verification backend with liboqs (the C reference implementation behind the NIST ML-DSA standardisation effort itself). Measured on the production server: dilithium_py verified ~200 signatures/second; liboqs verifies ~53,500/second on the same hardware — roughly a 267x improvement in raw cryptographic throughput. The backend falls back to dilithium_py automatically, with a loud startup warning, if liboqs is unavailable — there is no silent degradation.</w:t>
      </w:r>
    </w:p>
    <w:p>
      <w:pPr>
        <w:pStyle w:val="Heading2"/>
        <w:spacing w:after="150" w:before="300"/>
      </w:pPr>
      <w:r>
        <w:t xml:space="preserve">3.10 Operational Hardening (v5.40)</w:t>
      </w:r>
    </w:p>
    <w:p>
      <w:pPr>
        <w:spacing w:after="200"/>
      </w:pPr>
      <w: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1"/>
        <w:spacing w:after="200" w:before="400"/>
      </w:pPr>
      <w:r>
        <w:t xml:space="preserve">4. Tokenomics</w:t>
      </w:r>
    </w:p>
    <w:p>
      <w:pPr>
        <w:pStyle w:val="Heading2"/>
        <w:spacing w:after="150" w:before="30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rPr>
              <w:t xml:space="preserve">Pool</w:t>
            </w:r>
          </w:p>
        </w:tc>
        <w:tc>
          <w:tcPr>
            <w:tcW w:type="dxa" w:w="3000"/>
            <w:shd w:fill="E8E8E8" w:val="clear"/>
          </w:tcPr>
          <w:p>
            <w:r>
              <w:rPr>
                <w:b/>
                <w:bCs/>
              </w:rPr>
              <w:t xml:space="preserve">Share</w:t>
            </w:r>
          </w:p>
        </w:tc>
        <w:tc>
          <w:tcPr>
            <w:tcW w:type="dxa" w:w="3000"/>
            <w:shd w:fill="E8E8E8" w:val="clear"/>
          </w:tcPr>
          <w:p>
            <w:r>
              <w:rPr>
                <w:b/>
                <w:bCs/>
              </w:rPr>
              <w:t xml:space="preserve">Amount</w:t>
            </w:r>
          </w:p>
        </w:tc>
      </w:tr>
      <w:tr>
        <w:tc>
          <w:tcPr>
            <w:tcW w:type="dxa" w:w="3000"/>
          </w:tcPr>
          <w:p>
            <w:r>
              <w:t xml:space="preserve">Validators</w:t>
            </w:r>
          </w:p>
        </w:tc>
        <w:tc>
          <w:tcPr>
            <w:tcW w:type="dxa" w:w="3000"/>
          </w:tcPr>
          <w:p>
            <w:r>
              <w:t xml:space="preserve">40.00%</w:t>
            </w:r>
          </w:p>
        </w:tc>
        <w:tc>
          <w:tcPr>
            <w:tcW w:type="dxa" w:w="3000"/>
          </w:tcPr>
          <w:p>
            <w:r>
              <w:t xml:space="preserve">8,400,000 BIO</w:t>
            </w:r>
          </w:p>
        </w:tc>
      </w:tr>
      <w:tr>
        <w:tc>
          <w:tcPr>
            <w:tcW w:type="dxa" w:w="3000"/>
          </w:tcPr>
          <w:p>
            <w:r>
              <w:t xml:space="preserve">Ecosystem</w:t>
            </w:r>
          </w:p>
        </w:tc>
        <w:tc>
          <w:tcPr>
            <w:tcW w:type="dxa" w:w="3000"/>
          </w:tcPr>
          <w:p>
            <w:r>
              <w:t xml:space="preserve">30.00%</w:t>
            </w:r>
          </w:p>
        </w:tc>
        <w:tc>
          <w:tcPr>
            <w:tcW w:type="dxa" w:w="3000"/>
          </w:tcPr>
          <w:p>
            <w:r>
              <w:t xml:space="preserve">6,300,000 BIO</w:t>
            </w:r>
          </w:p>
        </w:tc>
      </w:tr>
      <w:tr>
        <w:tc>
          <w:tcPr>
            <w:tcW w:type="dxa" w:w="3000"/>
          </w:tcPr>
          <w:p>
            <w:r>
              <w:t xml:space="preserve">Reserve</w:t>
            </w:r>
          </w:p>
        </w:tc>
        <w:tc>
          <w:tcPr>
            <w:tcW w:type="dxa" w:w="3000"/>
          </w:tcPr>
          <w:p>
            <w:r>
              <w:t xml:space="preserve">20.00%</w:t>
            </w:r>
          </w:p>
        </w:tc>
        <w:tc>
          <w:tcPr>
            <w:tcW w:type="dxa" w:w="3000"/>
          </w:tcPr>
          <w:p>
            <w:r>
              <w:t xml:space="preserve">4,200,000 BIO</w:t>
            </w:r>
          </w:p>
        </w:tc>
      </w:tr>
      <w:tr>
        <w:tc>
          <w:tcPr>
            <w:tcW w:type="dxa" w:w="3000"/>
          </w:tcPr>
          <w:p>
            <w:r>
              <w:t xml:space="preserve">Team (vesting)</w:t>
            </w:r>
          </w:p>
        </w:tc>
        <w:tc>
          <w:tcPr>
            <w:tcW w:type="dxa" w:w="3000"/>
          </w:tcPr>
          <w:p>
            <w:r>
              <w:t xml:space="preserve">5.00%</w:t>
            </w:r>
          </w:p>
        </w:tc>
        <w:tc>
          <w:tcPr>
            <w:tcW w:type="dxa" w:w="3000"/>
          </w:tcPr>
          <w:p>
            <w:r>
              <w:t xml:space="preserve">1,050,000 BIO</w:t>
            </w:r>
          </w:p>
        </w:tc>
      </w:tr>
      <w:tr>
        <w:tc>
          <w:tcPr>
            <w:tcW w:type="dxa" w:w="3000"/>
          </w:tcPr>
          <w:p>
            <w:r>
              <w:t xml:space="preserve">Genesis grants</w:t>
            </w:r>
          </w:p>
        </w:tc>
        <w:tc>
          <w:tcPr>
            <w:tcW w:type="dxa" w:w="3000"/>
          </w:tcPr>
          <w:p>
            <w:r>
              <w:t xml:space="preserve">3.90%</w:t>
            </w:r>
          </w:p>
        </w:tc>
        <w:tc>
          <w:tcPr>
            <w:tcW w:type="dxa" w:w="3000"/>
          </w:tcPr>
          <w:p>
            <w:r>
              <w:t xml:space="preserve">820,000 BIO</w:t>
            </w:r>
          </w:p>
        </w:tc>
      </w:tr>
      <w:tr>
        <w:tc>
          <w:tcPr>
            <w:tcW w:type="dxa" w:w="3000"/>
          </w:tcPr>
          <w:p>
            <w:r>
              <w:t xml:space="preserve">Listing reserve</w:t>
            </w:r>
          </w:p>
        </w:tc>
        <w:tc>
          <w:tcPr>
            <w:tcW w:type="dxa" w:w="3000"/>
          </w:tcPr>
          <w:p>
            <w:r>
              <w:t xml:space="preserve">1.10%</w:t>
            </w:r>
          </w:p>
        </w:tc>
        <w:tc>
          <w:tcPr>
            <w:tcW w:type="dxa" w:w="3000"/>
          </w:tcPr>
          <w:p>
            <w:r>
              <w:t xml:space="preserve">230,000 BIO</w:t>
            </w:r>
          </w:p>
        </w:tc>
      </w:tr>
      <w:tr>
        <w:tc>
          <w:tcPr>
            <w:tcW w:type="dxa" w:w="3000"/>
          </w:tcPr>
          <w:p>
            <w:r>
              <w:t xml:space="preserve">Total</w:t>
            </w:r>
          </w:p>
        </w:tc>
        <w:tc>
          <w:tcPr>
            <w:tcW w:type="dxa" w:w="3000"/>
          </w:tcPr>
          <w:p>
            <w:r>
              <w:t xml:space="preserve">100.00%</w:t>
            </w:r>
          </w:p>
        </w:tc>
        <w:tc>
          <w:tcPr>
            <w:tcW w:type="dxa" w:w="3000"/>
          </w:tcPr>
          <w:p>
            <w:r>
              <w:t xml:space="preserve">21,000,000 BIO (hard cap, immutable)</w:t>
            </w:r>
          </w:p>
        </w:tc>
      </w:tr>
    </w:tbl>
    <w:p>
      <w:pPr>
        <w:spacing w:after="200"/>
      </w:pPr>
      <w: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 resolving a previously undocumented, unspent remainder. The remaining up to 300,000 BIO funds the tiered genesis grants below. All four sum to exactly 820,000 BIO.</w:t>
      </w:r>
    </w:p>
    <w:p>
      <w:pPr>
        <w:spacing w:after="200"/>
      </w:pPr>
      <w: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50" w:before="300"/>
      </w:pPr>
      <w:r>
        <w:t xml:space="preserve">4.2 Emission Schedule</w:t>
      </w:r>
    </w:p>
    <w:p>
      <w:pPr>
        <w:spacing w:after="200"/>
      </w:pPr>
      <w:r>
        <w:t xml:space="preserve">Block reward follows annual halvings anchored to the genesis block timestamp: 10 BIO per block initially, halving every 365 days of chain time, floored at 0.001 BIO.</w:t>
      </w:r>
    </w:p>
    <w:p>
      <w:pPr>
        <w:spacing w:after="200"/>
      </w:pPr>
      <w: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200"/>
      </w:pPr>
      <w:r>
        <w:t xml:space="preserve">Transaction fees flow into the validators pool, minus whatever fraction is currently being destroyed by partial fee burning (below).</w:t>
      </w:r>
    </w:p>
    <w:p>
      <w:pPr>
        <w:pStyle w:val="Heading2"/>
        <w:spacing w:after="150" w:before="30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rPr>
              <w:t xml:space="preserve">Fee</w:t>
            </w:r>
          </w:p>
        </w:tc>
        <w:tc>
          <w:tcPr>
            <w:tcW w:type="dxa" w:w="4500"/>
            <w:shd w:fill="E8E8E8" w:val="clear"/>
          </w:tcPr>
          <w:p>
            <w:r>
              <w:rPr>
                <w:b/>
                <w:bCs/>
              </w:rPr>
              <w:t xml:space="preserve">Amount</w:t>
            </w:r>
          </w:p>
        </w:tc>
      </w:tr>
      <w:tr>
        <w:tc>
          <w:tcPr>
            <w:tcW w:type="dxa" w:w="4500"/>
          </w:tcPr>
          <w:p>
            <w:r>
              <w:t xml:space="preserve">Transfer fee</w:t>
            </w:r>
          </w:p>
        </w:tc>
        <w:tc>
          <w:tcPr>
            <w:tcW w:type="dxa" w:w="4500"/>
          </w:tcPr>
          <w:p>
            <w:r>
              <w:t xml:space="preserve">0.01 BIO (flat) + 0.05% of value</w:t>
            </w:r>
          </w:p>
        </w:tc>
      </w:tr>
      <w:tr>
        <w:tc>
          <w:tcPr>
            <w:tcW w:type="dxa" w:w="4500"/>
          </w:tcPr>
          <w:p>
            <w:r>
              <w:t xml:space="preserve">Stake fee</w:t>
            </w:r>
          </w:p>
        </w:tc>
        <w:tc>
          <w:tcPr>
            <w:tcW w:type="dxa" w:w="4500"/>
          </w:tcPr>
          <w:p>
            <w:r>
              <w:t xml:space="preserve">1.0 BIO flat</w:t>
            </w:r>
          </w:p>
        </w:tc>
      </w:tr>
      <w:tr>
        <w:tc>
          <w:tcPr>
            <w:tcW w:type="dxa" w:w="4500"/>
          </w:tcPr>
          <w:p>
            <w:r>
              <w:t xml:space="preserve">Unstake / Proposal / Vote</w:t>
            </w:r>
          </w:p>
        </w:tc>
        <w:tc>
          <w:tcPr>
            <w:tcW w:type="dxa" w:w="4500"/>
          </w:tcPr>
          <w:p>
            <w:r>
              <w:t xml:space="preserve">Free</w:t>
            </w:r>
          </w:p>
        </w:tc>
      </w:tr>
    </w:tbl>
    <w:p>
      <w:pPr>
        <w:spacing w:after="200"/>
      </w:pPr>
      <w: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50" w:before="300"/>
      </w:pPr>
      <w:r>
        <w:t xml:space="preserve">4.4 Integer Money and the Supply Invariant</w:t>
      </w:r>
    </w:p>
    <w:p>
      <w:pPr>
        <w:spacing w:after="200"/>
      </w:pPr>
      <w: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200"/>
      </w:pPr>
      <w: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50" w:before="300"/>
      </w:pPr>
      <w:r>
        <w:t xml:space="preserve">4.5 Founder Vesting Schedule (extended in v5.40)</w:t>
      </w:r>
    </w:p>
    <w:p>
      <w:pPr>
        <w:spacing w:after="200"/>
      </w:pPr>
      <w: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200"/>
      </w:pPr>
      <w: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50" w:before="300"/>
      </w:pPr>
      <w:r>
        <w:t xml:space="preserve">4.6 Developer Grants Pool (new in v5.40)</w:t>
      </w:r>
    </w:p>
    <w:p>
      <w:pPr>
        <w:spacing w:after="200"/>
      </w:pPr>
      <w:r>
        <w:t xml:space="preserve">509,000 BIO, carved out of the genesis pool's remainder at first boot, funds grants for real-world builders — wallets, block explorers, SDKs, integrations — extending the network beyond the core protocol. Released only via governance proposal and vote, with each grant's amount clamped to between 1 and 5,000 BIO, never a flat automatic rate. Every grant is recorded in a dedicated, publicly auditable ledger (recipient address, project name, description, amount, and the governance proposal ID that authorized it).</w:t>
      </w:r>
    </w:p>
    <w:p>
      <w:pPr>
        <w:spacing w:after="200"/>
      </w:pPr>
      <w:r>
        <w:t xml:space="preserve">This pool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w:t>
      </w:r>
    </w:p>
    <w:p>
      <w:pPr>
        <w:pStyle w:val="Heading1"/>
        <w:spacing w:after="200" w:before="400"/>
      </w:pPr>
      <w:r>
        <w:t xml:space="preserve">5. Governance</w:t>
      </w:r>
    </w:p>
    <w:p>
      <w:pPr>
        <w:spacing w:after="200"/>
      </w:pPr>
      <w: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and developer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200" w:before="400"/>
      </w:pPr>
      <w:r>
        <w:t xml:space="preserve">6. Security Model</w:t>
      </w:r>
    </w:p>
    <w:p>
      <w:pPr>
        <w:spacing w:after="200"/>
      </w:pPr>
      <w: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200" w:before="400"/>
      </w:pPr>
      <w:r>
        <w:t xml:space="preserve">7. Longevity Rewards</w:t>
      </w:r>
    </w:p>
    <w:p>
      <w:pPr>
        <w:spacing w:after="200"/>
      </w:pPr>
      <w: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200" w:before="400"/>
      </w:pPr>
      <w:r>
        <w:t xml:space="preserve">8. Peer Protocol</w:t>
      </w:r>
    </w:p>
    <w:p>
      <w:pPr>
        <w:spacing w:after="200"/>
      </w:pPr>
      <w: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200"/>
      </w:pPr>
      <w: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200"/>
      </w:pPr>
      <w: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pStyle w:val="Heading1"/>
        <w:spacing w:after="200" w:before="4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rPr>
              <w:t xml:space="preserve">Component</w:t>
            </w:r>
          </w:p>
        </w:tc>
        <w:tc>
          <w:tcPr>
            <w:tcW w:type="dxa" w:w="4500"/>
            <w:shd w:fill="E8E8E8" w:val="clear"/>
          </w:tcPr>
          <w:p>
            <w:r>
              <w:rPr>
                <w:b/>
                <w:bCs/>
              </w:rPr>
              <w:t xml:space="preserve">Detail</w:t>
            </w:r>
          </w:p>
        </w:tc>
      </w:tr>
      <w:tr>
        <w:tc>
          <w:tcPr>
            <w:tcW w:type="dxa" w:w="4500"/>
          </w:tcPr>
          <w:p>
            <w:r>
              <w:t xml:space="preserve">Signature scheme</w:t>
            </w:r>
          </w:p>
        </w:tc>
        <w:tc>
          <w:tcPr>
            <w:tcW w:type="dxa" w:w="4500"/>
          </w:tcPr>
          <w:p>
            <w:r>
              <w:t xml:space="preserve">ML-DSA-44 (CRYSTALS-Dilithium3, NIST PQC standard)</w:t>
            </w:r>
          </w:p>
        </w:tc>
      </w:tr>
      <w:tr>
        <w:tc>
          <w:tcPr>
            <w:tcW w:type="dxa" w:w="4500"/>
          </w:tcPr>
          <w:p>
            <w:r>
              <w:t xml:space="preserve">Crypto backend (server)</w:t>
            </w:r>
          </w:p>
        </w:tc>
        <w:tc>
          <w:tcPr>
            <w:tcW w:type="dxa" w:w="4500"/>
          </w:tcPr>
          <w:p>
            <w:r>
              <w:t xml:space="preserve">liboqs (C) via liboqs-python; dilithium_py as automatic, loudly-logged fallback</w:t>
            </w:r>
          </w:p>
        </w:tc>
      </w:tr>
      <w:tr>
        <w:tc>
          <w:tcPr>
            <w:tcW w:type="dxa" w:w="4500"/>
          </w:tcPr>
          <w:p>
            <w:r>
              <w:t xml:space="preserve">Backend language</w:t>
            </w:r>
          </w:p>
        </w:tc>
        <w:tc>
          <w:tcPr>
            <w:tcW w:type="dxa" w:w="4500"/>
          </w:tcPr>
          <w:p>
            <w:r>
              <w:t xml:space="preserve">Python 3.14</w:t>
            </w:r>
          </w:p>
        </w:tc>
      </w:tr>
      <w:tr>
        <w:tc>
          <w:tcPr>
            <w:tcW w:type="dxa" w:w="4500"/>
          </w:tcPr>
          <w:p>
            <w:r>
              <w:t xml:space="preserve">HTTP framework</w:t>
            </w:r>
          </w:p>
        </w:tc>
        <w:tc>
          <w:tcPr>
            <w:tcW w:type="dxa" w:w="4500"/>
          </w:tcPr>
          <w:p>
            <w:r>
              <w:t xml:space="preserve">FastAPI + Uvicorn</w:t>
            </w:r>
          </w:p>
        </w:tc>
      </w:tr>
      <w:tr>
        <w:tc>
          <w:tcPr>
            <w:tcW w:type="dxa" w:w="4500"/>
          </w:tcPr>
          <w:p>
            <w:r>
              <w:t xml:space="preserve">Database</w:t>
            </w:r>
          </w:p>
        </w:tc>
        <w:tc>
          <w:tcPr>
            <w:tcW w:type="dxa" w:w="4500"/>
          </w:tcPr>
          <w:p>
            <w:r>
              <w:t xml:space="preserve">SQLite (WAL mode, NORMAL sync, RLock + atomic transactions)</w:t>
            </w:r>
          </w:p>
        </w:tc>
      </w:tr>
      <w:tr>
        <w:tc>
          <w:tcPr>
            <w:tcW w:type="dxa" w:w="4500"/>
          </w:tcPr>
          <w:p>
            <w:r>
              <w:t xml:space="preserve">Frontend</w:t>
            </w:r>
          </w:p>
        </w:tc>
        <w:tc>
          <w:tcPr>
            <w:tcW w:type="dxa" w:w="4500"/>
          </w:tcPr>
          <w:p>
            <w:r>
              <w:t xml:space="preserve">React + Vite PWA (wallet v2.2.5)</w:t>
            </w:r>
          </w:p>
        </w:tc>
      </w:tr>
      <w:tr>
        <w:tc>
          <w:tcPr>
            <w:tcW w:type="dxa" w:w="4500"/>
          </w:tcPr>
          <w:p>
            <w:r>
              <w:t xml:space="preserve">WebAssembly PQ (client)</w:t>
            </w:r>
          </w:p>
        </w:tc>
        <w:tc>
          <w:tcPr>
            <w:tcW w:type="dxa" w:w="4500"/>
          </w:tcPr>
          <w:p>
            <w:r>
              <w:t xml:space="preserve">liboqs-js for in-browser signing</w:t>
            </w:r>
          </w:p>
        </w:tc>
      </w:tr>
      <w:tr>
        <w:tc>
          <w:tcPr>
            <w:tcW w:type="dxa" w:w="4500"/>
          </w:tcPr>
          <w:p>
            <w:r>
              <w:t xml:space="preserve">Reverse proxy / TLS</w:t>
            </w:r>
          </w:p>
        </w:tc>
        <w:tc>
          <w:tcPr>
            <w:tcW w:type="dxa" w:w="4500"/>
          </w:tcPr>
          <w:p>
            <w:r>
              <w:t xml:space="preserve">nginx + Let's Encrypt (certbot), auto-renewing</w:t>
            </w:r>
          </w:p>
        </w:tc>
      </w:tr>
      <w:tr>
        <w:tc>
          <w:tcPr>
            <w:tcW w:type="dxa" w:w="4500"/>
          </w:tcPr>
          <w:p>
            <w:r>
              <w:t xml:space="preserve">Production host (node 1)</w:t>
            </w:r>
          </w:p>
        </w:tc>
        <w:tc>
          <w:tcPr>
            <w:tcW w:type="dxa" w:w="4500"/>
          </w:tcPr>
          <w:p>
            <w:r>
              <w:t xml:space="preserve">Hetzner Cloud CPX21/CPX22, Nuremberg</w:t>
            </w:r>
          </w:p>
        </w:tc>
      </w:tr>
      <w:tr>
        <w:tc>
          <w:tcPr>
            <w:tcW w:type="dxa" w:w="4500"/>
          </w:tcPr>
          <w:p>
            <w:r>
              <w:t xml:space="preserve">Production host (node 2)</w:t>
            </w:r>
          </w:p>
        </w:tc>
        <w:tc>
          <w:tcPr>
            <w:tcW w:type="dxa" w:w="4500"/>
          </w:tcPr>
          <w:p>
            <w:r>
              <w:t xml:space="preserve">Hetzner Cloud CX23, Helsinki — independently hardened</w:t>
            </w:r>
          </w:p>
        </w:tc>
      </w:tr>
      <w:tr>
        <w:tc>
          <w:tcPr>
            <w:tcW w:type="dxa" w:w="4500"/>
          </w:tcPr>
          <w:p>
            <w:r>
              <w:t xml:space="preserve">Access control</w:t>
            </w:r>
          </w:p>
        </w:tc>
        <w:tc>
          <w:tcPr>
            <w:tcW w:type="dxa" w:w="4500"/>
          </w:tcPr>
          <w:p>
            <w:r>
              <w:t xml:space="preserve">SSH key-only auth, no root login, ufw firewall (only 22/80/443 open)</w:t>
            </w:r>
          </w:p>
        </w:tc>
      </w:tr>
      <w:tr>
        <w:tc>
          <w:tcPr>
            <w:tcW w:type="dxa" w:w="4500"/>
          </w:tcPr>
          <w:p>
            <w:r>
              <w:t xml:space="preserve">Process supervision</w:t>
            </w:r>
          </w:p>
        </w:tc>
        <w:tc>
          <w:tcPr>
            <w:tcW w:type="dxa" w:w="4500"/>
          </w:tcPr>
          <w:p>
            <w:r>
              <w:t xml:space="preserve">systemd (auto-restart on failure, enabled at boot)</w:t>
            </w:r>
          </w:p>
        </w:tc>
      </w:tr>
      <w:tr>
        <w:tc>
          <w:tcPr>
            <w:tcW w:type="dxa" w:w="4500"/>
          </w:tcPr>
          <w:p>
            <w:r>
              <w:t xml:space="preserve">Backups</w:t>
            </w:r>
          </w:p>
        </w:tc>
        <w:tc>
          <w:tcPr>
            <w:tcW w:type="dxa" w:w="4500"/>
          </w:tcPr>
          <w:p>
            <w:r>
              <w:t xml:space="preserve">Automated sqlite3 .backup snapshots (WAL-consistent) every 6 hours, rotated</w:t>
            </w:r>
          </w:p>
        </w:tc>
      </w:tr>
      <w:tr>
        <w:tc>
          <w:tcPr>
            <w:tcW w:type="dxa" w:w="4500"/>
          </w:tcPr>
          <w:p>
            <w:r>
              <w:t xml:space="preserve">Regression suite</w:t>
            </w:r>
          </w:p>
        </w:tc>
        <w:tc>
          <w:tcPr>
            <w:tcW w:type="dxa" w:w="4500"/>
          </w:tcPr>
          <w:p>
            <w:r>
              <w:t xml:space="preserve">168 tests, genuine ML-DSA-44 cryptography, on-device and in production</w:t>
            </w:r>
          </w:p>
        </w:tc>
      </w:tr>
      <w:tr>
        <w:tc>
          <w:tcPr>
            <w:tcW w:type="dxa" w:w="4500"/>
          </w:tcPr>
          <w:p>
            <w:r>
              <w:t xml:space="preserve">Backend license</w:t>
            </w:r>
          </w:p>
        </w:tc>
        <w:tc>
          <w:tcPr>
            <w:tcW w:type="dxa" w:w="4500"/>
          </w:tcPr>
          <w:p>
            <w:r>
              <w:t xml:space="preserve">AGPL-3.0-or-later</w:t>
            </w:r>
          </w:p>
        </w:tc>
      </w:tr>
      <w:tr>
        <w:tc>
          <w:tcPr>
            <w:tcW w:type="dxa" w:w="4500"/>
          </w:tcPr>
          <w:p>
            <w:r>
              <w:t xml:space="preserve">Wallet license</w:t>
            </w:r>
          </w:p>
        </w:tc>
        <w:tc>
          <w:tcPr>
            <w:tcW w:type="dxa" w:w="4500"/>
          </w:tcPr>
          <w:p>
            <w:r>
              <w:t xml:space="preserve">Apache-2.0</w:t>
            </w:r>
          </w:p>
        </w:tc>
      </w:tr>
    </w:tbl>
    <w:p>
      <w:pPr>
        <w:pStyle w:val="Heading1"/>
        <w:spacing w:after="200" w:before="400"/>
      </w:pPr>
      <w:r>
        <w:t xml:space="preserve">10. Roadmap</w:t>
      </w:r>
    </w:p>
    <w:p>
      <w:pPr>
        <w:pStyle w:val="Heading2"/>
        <w:spacing w:after="150" w:before="300"/>
      </w:pPr>
      <w:r>
        <w:t xml:space="preserve">Completed (through v5.40)</w:t>
      </w:r>
    </w:p>
    <w:p>
      <w:pPr>
        <w:spacing w:after="200"/>
      </w:pPr>
      <w: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168-test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w:t>
      </w:r>
    </w:p>
    <w:p>
      <w:pPr>
        <w:pStyle w:val="Heading2"/>
        <w:spacing w:after="150" w:before="300"/>
      </w:pPr>
      <w:r>
        <w:t xml:space="preserve">Near-term</w:t>
      </w:r>
    </w:p>
    <w:p>
      <w:pPr>
        <w:spacing w:after="200"/>
      </w:pPr>
      <w: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50" w:before="300"/>
      </w:pPr>
      <w:r>
        <w:t xml:space="preserve">Medium-term</w:t>
      </w:r>
    </w:p>
    <w:p>
      <w:pPr>
        <w:spacing w:after="200"/>
      </w:pPr>
      <w: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200" w:before="400"/>
      </w:pPr>
      <w:r>
        <w:t xml:space="preserve">11. Open Questions</w:t>
      </w:r>
    </w:p>
    <w:p>
      <w:pPr>
        <w:spacing w:after="200"/>
      </w:pPr>
      <w: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which of SQLite's write path, network I/O, or rate-limiting logic becomes the next real ceiling under sustained, multi-process production load remains to be measured rather than assumed.</w:t>
      </w:r>
    </w:p>
    <w:p>
      <w:pPr>
        <w:pStyle w:val="Heading1"/>
        <w:spacing w:after="200" w:before="400"/>
      </w:pPr>
      <w:r>
        <w:t xml:space="preserve">12. Conclusion</w:t>
      </w:r>
    </w:p>
    <w:p>
      <w:pPr>
        <w:spacing w:after="200"/>
      </w:pPr>
      <w: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200"/>
      </w:pPr>
      <w:r>
        <w:t xml:space="preserve">The mission is a decentralised economic platform of the future, not a platform for speculation. The proof is in the chain — and now, in the server.</w:t>
      </w:r>
    </w:p>
    <w:p>
      <w:pPr>
        <w:spacing w:before="400"/>
        <w:jc w:val="center"/>
      </w:pPr>
      <w:r>
        <w:rPr>
          <w:b/>
          <w:bCs/>
        </w:rPr>
        <w:t xml:space="preserve">BioChain AAECN v5.40 · July 2026 · biochainnetwork.com</w:t>
      </w:r>
    </w:p>
    <w:p>
      <w:pPr>
        <w:spacing w:before="100"/>
        <w:jc w:val="center"/>
      </w:pPr>
      <w: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2026-07-14T13:02:58.895Z</dcterms:created>
  <dcterms:modified xsi:type="dcterms:W3CDTF">2026-07-14T13:02:58.908Z</dcterms:modified>
</cp:coreProperties>
</file>

<file path=docProps/custom.xml><?xml version="1.0" encoding="utf-8"?>
<Properties xmlns="http://schemas.openxmlformats.org/officeDocument/2006/custom-properties" xmlns:vt="http://schemas.openxmlformats.org/officeDocument/2006/docPropsVTypes"/>
</file>