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BIOCHAIN</w:t>
      </w:r>
    </w:p>
    <w:p>
      <w:pPr>
        <w:pStyle w:val="BodyText"/>
      </w:pPr>
      <w:r>
        <w:rPr>
          <w:iCs/>
          <w:i/>
        </w:rPr>
        <w:t xml:space="preserve">AAECN — Autonomous Adaptive Emergent Consensus Network</w:t>
      </w:r>
    </w:p>
    <w:p>
      <w:pPr>
        <w:pStyle w:val="BodyText"/>
      </w:pPr>
      <w:r>
        <w:rPr>
          <w:bCs/>
          <w:b/>
        </w:rPr>
        <w:t xml:space="preserve">WHITEPAPER v5.44</w:t>
      </w:r>
    </w:p>
    <w:p>
      <w:pPr>
        <w:pStyle w:val="BodyText"/>
      </w:pPr>
      <w:r>
        <w:t xml:space="preserve">Post-Quantum Blockchain with Organic Node Emergence, Integer Money, and Production Infrastructure</w:t>
      </w:r>
    </w:p>
    <w:p>
      <w:pPr>
        <w:pStyle w:val="BodyText"/>
      </w:pPr>
      <w:r>
        <w:t xml:space="preserve">SPDX-License-Identifier: AGPL-3.0-or-later (backend) / Apache-2.0 (wallet)</w:t>
      </w:r>
    </w:p>
    <w:p>
      <w:pPr>
        <w:pStyle w:val="BodyText"/>
      </w:pPr>
      <w:r>
        <w:rPr>
          <w:iCs/>
          <w:i/>
        </w:rPr>
        <w:t xml:space="preserve">July 2026 · genesis on the v5.34 integer-money baseline · HTLC swaps live as of v5.37 · checkpoints as of v5.38 · first production server live as of v5.39 · operationally hardened, supply invariant completed, and peer sync confirmed live between two independent nodes as of v5.40 · Sybil-resistant emergence, self-announcement, extended vesting, partial fee burning, smooth reward taper, and developer grants added the same release · deployment configuration moved to environment variables and the developer-grants pool split to add a server-operator grants pool as of v5.41 · cryptographic, hash-based peer self-recognition added as of v5.43 · address length extended 16 to 32 hex characters alongside a full network genesis reset, and a security-hardening pass covering transaction atomicity, peer-block re-verification, self-announcement signing, and DNS-rebinding protection, both July 28, 2026</w:t>
      </w:r>
    </w:p>
    <w:p>
      <w:pPr>
        <w:pStyle w:val="BodyText"/>
      </w:pPr>
      <w:r>
        <w:t xml:space="preserve">1. Abstract</w:t>
      </w:r>
    </w:p>
    <w:p>
      <w:pPr>
        <w:pStyle w:val="BodyText"/>
      </w:pPr>
      <w:r>
        <w:t xml:space="preserve">BioChain (AAECN — Autonomous Adaptive Emergent Consensus Network) is a post-quantum blockchain where nodes are not registered, deployed, or pre-defined. They emerge organically from participant activity. An address that sends 21 impulses (transactions) automatically becomes a live network node, provided at least 7 real days have elapsed since that address's first activity — a Sybil-resistance timing requirement added after external review, preventing mass, instantly-scripted node creation. Without continued activity a node's energy decays and it dies; new impulses revive it.</w:t>
      </w:r>
    </w:p>
    <w:p>
      <w:pPr>
        <w:pStyle w:val="BodyText"/>
      </w:pPr>
      <w:r>
        <w:t xml:space="preserve">All signatures use ML-DSA-44 (CRYSTALS-Dilithium3), the NIST-standardised post-quantum digital signature scheme. A 21-million BIO hard cap, deterministic halving, per-address nonce replay protection, fully atomic block application, and pure integer money arithmetic make BioChain resistant both to the quantum threat that will eventually obsolete every ECDSA-based network and to the silent value drift that floating-point accounting introduces.</w:t>
      </w:r>
    </w:p>
    <w:p>
      <w:pPr>
        <w:pStyle w:val="BodyText"/>
      </w:pPr>
      <w:r>
        <w:t xml:space="preserve">As of v5.37, BioChain supports custody-free atomic swaps between BIO and any external asset via hash-time-locked contracts. As of v5.38, full state checkpoints let a new node adopt a hash-verified snapshot and skip replaying the entire chain. As of v5.39, the network's first production server is live at biochainnetwork.com, running the C-optimised liboqs signature backend behind TLS, measured at close to 1,000 transactions per second on modest commodity hardware. As of v5.40, that server runs as a supervised, auto-restarting service with automated backups and a firewall-closed API port; a second, fully independent production node was stood up in a separate data center, and the peer protocol synchronised the two nodes automatically, including correct fork resolution after a deliberate network partition; and the supply invariant was extended to correctly include staked BIO.</w:t>
      </w:r>
    </w:p>
    <w:p>
      <w:pPr>
        <w:pStyle w:val="BodyText"/>
      </w:pPr>
      <w:r>
        <w:t xml:space="preserve">Later in the same v5.40 release cycle, prompted by an independent external review, five further mechanisms were added: node emergence (and the genesis grant tied to it) now requires real elapsed time, not just impulse count, closing a Sybil-farming gap; a brand-new node can announce its own existence to become visible for peer discovery, matching the bootstrap pattern used by Bitcoin and Ethereum, without that announcement alone ever granting trust; founder vesting was extended from 2 years to 10, spreading the same total allocation across far smaller monthly payments; a partial fee-burning mechanism was fully built and tested, though launched inactive at the founder's discretion; block rewards now taper smoothly rather than cutting off abruptly when the validator pool empties; and a 509,000 BIO developer-grants pool — previously an undocumented remainder — now funds real-world builders through governance vote. That pool was later split evenly (section 4.6): one half continues funding developer grants, the other half funds grants to independent server operators, both released the same way, exclusively through governance vote.</w:t>
      </w:r>
    </w:p>
    <w:p>
      <w:pPr>
        <w:pStyle w:val="BodyText"/>
      </w:pPr>
      <w:r>
        <w:t xml:space="preserve">The result is a self-regulating, decade-stable economic platform whose goal is meaningful participation, not speculative accumulation.</w:t>
      </w:r>
    </w:p>
    <w:p>
      <w:pPr>
        <w:pStyle w:val="BodyText"/>
      </w:pPr>
      <w:r>
        <w:t xml:space="preserve">2. Motivation and Design Principles</w:t>
      </w:r>
    </w:p>
    <w:p>
      <w:pPr>
        <w:pStyle w:val="BodyText"/>
      </w:pPr>
      <w:r>
        <w:t xml:space="preserve">2.1 The Quantum Threat</w:t>
      </w:r>
    </w:p>
    <w:p>
      <w:pPr>
        <w:pStyle w:val="BodyText"/>
      </w:pPr>
      <w:r>
        <w:t xml:space="preserve">ECDSA, the signature scheme used by Bitcoin, Ethereum, and most existing blockchains, will be broken by sufficiently powerful quantum computers running Shor's algorithm. BioChain is designed from the ground up with ML-DSA-44, giving it a structural advantage over every network that will one day require a disruptive migration.</w:t>
      </w:r>
    </w:p>
    <w:p>
      <w:pPr>
        <w:pStyle w:val="BodyText"/>
      </w:pPr>
      <w:r>
        <w:t xml:space="preserve">2.2 Activity Over Ownership</w:t>
      </w:r>
    </w:p>
    <w:p>
      <w:pPr>
        <w:pStyle w:val="BodyText"/>
      </w:pPr>
      <w:r>
        <w:t xml:space="preserve">A node that stops sending impulses loses energy and dies. Governance weight is 1 node = 1 vote, regardless of stake tier. Capital increases block reward and validator weight, but never buys extra voting power. Becoming a node in the first place now also costs real time (at least 7 days from an address's first activity), not just transaction count — see section 3.2.</w:t>
      </w:r>
    </w:p>
    <w:p>
      <w:pPr>
        <w:pStyle w:val="BodyText"/>
      </w:pPr>
      <w:r>
        <w:t xml:space="preserve">2.3 Long-Term Stability Over Speculation</w:t>
      </w:r>
    </w:p>
    <w:p>
      <w:pPr>
        <w:pStyle w:val="BodyText"/>
      </w:pPr>
      <w:r>
        <w:t xml:space="preserve">Every parameter is calibrated for a network that must still be coherent in 2040, not for a speculative instrument measured in quarters. Founder vesting spans 10 years for the same reason — see section 4.5.</w:t>
      </w:r>
    </w:p>
    <w:p>
      <w:pPr>
        <w:pStyle w:val="BodyText"/>
      </w:pPr>
      <w:r>
        <w:t xml:space="preserve">2.4 No Single Point of Control</w:t>
      </w:r>
    </w:p>
    <w:p>
      <w:pPr>
        <w:pStyle w:val="BodyText"/>
      </w:pPr>
      <w:r>
        <w:t xml:space="preserve">There is no admin key, no privileged account, no upgrade proxy. The developer address receives a 5% vesting allocation subject to a 6-month cliff, a 10-year payout schedule, and a crisis pause. Slashing, parameter changes, exchange listing rewards, and developer and server-operator grants are executed exclusively through governance vote.</w:t>
      </w:r>
    </w:p>
    <w:p>
      <w:pPr>
        <w:pStyle w:val="BodyText"/>
      </w:pPr>
      <w:r>
        <w:t xml:space="preserve">3. Technical Architecture</w:t>
      </w:r>
    </w:p>
    <w:p>
      <w:pPr>
        <w:pStyle w:val="BodyText"/>
      </w:pPr>
      <w:r>
        <w:t xml:space="preserve">3.1 Post-Quantum Signatures (ML-DSA-44)</w:t>
      </w:r>
    </w:p>
    <w:p>
      <w:pPr>
        <w:pStyle w:val="BodyText"/>
      </w:pPr>
      <w:r>
        <w:t xml:space="preserve">Every fund- and governance-affecting request requires a valid ML-DSA-44 signature. The server verifies request freshness, public-key-to-address binding via SHA3-256, signature validity, and a strictly increasing nonce. Replay is impossible across any number of independent servers because the nonce is part of the signed message itself.</w:t>
      </w:r>
    </w:p>
    <w:p>
      <w:pPr>
        <w:pStyle w:val="BodyText"/>
      </w:pPr>
      <w:r>
        <w:t xml:space="preserve">Address format: BIO1 + first 32 hex characters of SHA3-256(public key) — extended from 16 characters on July 28, 2026, alongside a full network genesis reset timed to land while the network was still small enough to reset cleanly (see section 3.13 and MATH_SPEC.md §0 for the full reasoning and the exact collision-resistance figures).</w:t>
      </w:r>
    </w:p>
    <w:p>
      <w:pPr>
        <w:pStyle w:val="BodyText"/>
      </w:pPr>
      <w:r>
        <w:t xml:space="preserve">3.2 Organic Node Emergence</w:t>
      </w:r>
    </w:p>
    <w:tbl>
      <w:tblPr>
        <w:tblStyle w:val="Table"/>
        <w:tblW w:type="pct" w:w="4865"/>
        <w:tblLook w:firstRow="0" w:lastRow="0" w:firstColumn="0" w:lastColumn="0" w:noHBand="0" w:noVBand="0" w:val="0000"/>
        <w:jc w:val="start"/>
      </w:tblPr>
      <w:tblGrid>
        <w:gridCol w:w="3852"/>
        <w:gridCol w:w="3852"/>
      </w:tblGrid>
      <w:tr>
        <w:tc>
          <w:tcPr/>
          <w:p>
            <w:pPr>
              <w:pStyle w:val="Compact"/>
              <w:jc w:val="left"/>
            </w:pPr>
            <w:r>
              <w:rPr>
                <w:bCs/>
                <w:b/>
              </w:rPr>
              <w:t xml:space="preserve">Parameter</w:t>
            </w:r>
          </w:p>
        </w:tc>
        <w:tc>
          <w:tcPr/>
          <w:p>
            <w:pPr>
              <w:pStyle w:val="Compact"/>
              <w:jc w:val="left"/>
            </w:pPr>
            <w:r>
              <w:rPr>
                <w:bCs/>
                <w:b/>
              </w:rPr>
              <w:t xml:space="preserve">Value</w:t>
            </w:r>
          </w:p>
        </w:tc>
      </w:tr>
      <w:tr>
        <w:tc>
          <w:tcPr/>
          <w:p>
            <w:pPr>
              <w:pStyle w:val="Compact"/>
              <w:jc w:val="left"/>
            </w:pPr>
            <w:r>
              <w:t xml:space="preserve">Emergence threshold</w:t>
            </w:r>
          </w:p>
        </w:tc>
        <w:tc>
          <w:tcPr/>
          <w:p>
            <w:pPr>
              <w:pStyle w:val="Compact"/>
              <w:jc w:val="left"/>
            </w:pPr>
            <w:r>
              <w:t xml:space="preserve">21 impulses sent from an address</w:t>
            </w:r>
          </w:p>
        </w:tc>
      </w:tr>
      <w:tr>
        <w:tc>
          <w:tcPr/>
          <w:p>
            <w:pPr>
              <w:pStyle w:val="Compact"/>
              <w:jc w:val="left"/>
            </w:pPr>
            <w:r>
              <w:t xml:space="preserve">Minimum time span (v5.40)</w:t>
            </w:r>
          </w:p>
        </w:tc>
        <w:tc>
          <w:tcPr/>
          <w:p>
            <w:pPr>
              <w:pStyle w:val="Compact"/>
              <w:jc w:val="left"/>
            </w:pPr>
            <w:r>
              <w:t xml:space="preserve">≥ 7 real days between first activity and the 21st impulse — Sybil-resistance</w:t>
            </w:r>
          </w:p>
        </w:tc>
      </w:tr>
      <w:tr>
        <w:tc>
          <w:tcPr/>
          <w:p>
            <w:pPr>
              <w:pStyle w:val="Compact"/>
              <w:jc w:val="left"/>
            </w:pPr>
            <w:r>
              <w:t xml:space="preserve">Energy per impulse</w:t>
            </w:r>
          </w:p>
        </w:tc>
        <w:tc>
          <w:tcPr/>
          <w:p>
            <w:pPr>
              <w:pStyle w:val="Compact"/>
              <w:jc w:val="left"/>
            </w:pPr>
            <w:r>
              <w:t xml:space="preserve">8.0 BIO-scale units × role bonus</w:t>
            </w:r>
          </w:p>
        </w:tc>
      </w:tr>
      <w:tr>
        <w:tc>
          <w:tcPr/>
          <w:p>
            <w:pPr>
              <w:pStyle w:val="Compact"/>
              <w:jc w:val="left"/>
            </w:pPr>
            <w:r>
              <w:t xml:space="preserve">Energy decay</w:t>
            </w:r>
          </w:p>
        </w:tc>
        <w:tc>
          <w:tcPr/>
          <w:p>
            <w:pPr>
              <w:pStyle w:val="Compact"/>
              <w:jc w:val="left"/>
            </w:pPr>
            <w:r>
              <w:t xml:space="preserve">0.02 per block</w:t>
            </w:r>
          </w:p>
        </w:tc>
      </w:tr>
      <w:tr>
        <w:tc>
          <w:tcPr/>
          <w:p>
            <w:pPr>
              <w:pStyle w:val="Compact"/>
              <w:jc w:val="left"/>
            </w:pPr>
            <w:r>
              <w:t xml:space="preserve">Death</w:t>
            </w:r>
          </w:p>
        </w:tc>
        <w:tc>
          <w:tcPr/>
          <w:p>
            <w:pPr>
              <w:pStyle w:val="Compact"/>
              <w:jc w:val="left"/>
            </w:pPr>
            <w:r>
              <w:t xml:space="preserve">energy reaches zero</w:t>
            </w:r>
          </w:p>
        </w:tc>
      </w:tr>
      <w:tr>
        <w:tc>
          <w:tcPr/>
          <w:p>
            <w:pPr>
              <w:pStyle w:val="Compact"/>
              <w:jc w:val="left"/>
            </w:pPr>
            <w:r>
              <w:t xml:space="preserve">Dead 365 days without rebirth</w:t>
            </w:r>
          </w:p>
        </w:tc>
        <w:tc>
          <w:tcPr/>
          <w:p>
            <w:pPr>
              <w:pStyle w:val="Compact"/>
              <w:jc w:val="left"/>
            </w:pPr>
            <w:r>
              <w:t xml:space="preserve">balance swept to ecosystem pool</w:t>
            </w:r>
          </w:p>
        </w:tc>
      </w:tr>
    </w:tbl>
    <w:p>
      <w:pPr>
        <w:pStyle w:val="BodyText"/>
      </w:pPr>
      <w:r>
        <w:t xml:space="preserve">### 3.2a-i Node Roles</w:t>
      </w:r>
    </w:p>
    <w:p>
      <w:pPr>
        <w:pStyle w:val="BodyText"/>
      </w:pPr>
      <w:r>
        <w:t xml:space="preserve">Every node is assigned one of three roles at the moment it's born, and the role changes how fast it accumulates energy — and, by extension, how much weight it carries in consensus:</w:t>
      </w:r>
    </w:p>
    <w:tbl>
      <w:tblPr>
        <w:tblStyle w:val="Table"/>
        <w:tblW w:type="pct" w:w="4865"/>
        <w:tblLook w:firstRow="0" w:lastRow="0" w:firstColumn="0" w:lastColumn="0" w:noHBand="0" w:noVBand="0" w:val="0000"/>
        <w:jc w:val="start"/>
      </w:tblPr>
      <w:tblGrid>
        <w:gridCol w:w="2568"/>
        <w:gridCol w:w="2568"/>
        <w:gridCol w:w="2568"/>
      </w:tblGrid>
      <w:tr>
        <w:tc>
          <w:tcPr/>
          <w:p>
            <w:pPr>
              <w:pStyle w:val="Compact"/>
              <w:jc w:val="left"/>
            </w:pPr>
            <w:r>
              <w:t xml:space="preserve">Role</w:t>
            </w:r>
          </w:p>
        </w:tc>
        <w:tc>
          <w:tcPr/>
          <w:p>
            <w:pPr>
              <w:pStyle w:val="Compact"/>
              <w:jc w:val="left"/>
            </w:pPr>
            <w:r>
              <w:t xml:space="preserve">Energy bonus per impulse</w:t>
            </w:r>
          </w:p>
        </w:tc>
        <w:tc>
          <w:tcPr/>
          <w:p>
            <w:pPr>
              <w:pStyle w:val="Compact"/>
              <w:jc w:val="left"/>
            </w:pPr>
            <w:r>
              <w:t xml:space="preserve">Reputation growth</w:t>
            </w:r>
          </w:p>
        </w:tc>
      </w:tr>
      <w:tr>
        <w:tc>
          <w:tcPr/>
          <w:p>
            <w:pPr>
              <w:pStyle w:val="Compact"/>
              <w:jc w:val="left"/>
            </w:pPr>
            <w:r>
              <w:t xml:space="preserve">VALIDATOR</w:t>
            </w:r>
          </w:p>
        </w:tc>
        <w:tc>
          <w:tcPr/>
          <w:p>
            <w:pPr>
              <w:pStyle w:val="Compact"/>
              <w:jc w:val="left"/>
            </w:pPr>
            <w:r>
              <w:t xml:space="preserve">1.0x (baseline)</w:t>
            </w:r>
          </w:p>
        </w:tc>
        <w:tc>
          <w:tcPr/>
          <w:p>
            <w:pPr>
              <w:pStyle w:val="Compact"/>
              <w:jc w:val="left"/>
            </w:pPr>
            <w:r>
              <w:t xml:space="preserve">0.02 — fastest</w:t>
            </w:r>
          </w:p>
        </w:tc>
      </w:tr>
      <w:tr>
        <w:tc>
          <w:tcPr/>
          <w:p>
            <w:pPr>
              <w:pStyle w:val="Compact"/>
              <w:jc w:val="left"/>
            </w:pPr>
            <w:r>
              <w:t xml:space="preserve">KEEPER</w:t>
            </w:r>
          </w:p>
        </w:tc>
        <w:tc>
          <w:tcPr/>
          <w:p>
            <w:pPr>
              <w:pStyle w:val="Compact"/>
              <w:jc w:val="left"/>
            </w:pPr>
            <w:r>
              <w:t xml:space="preserve">2.0x</w:t>
            </w:r>
          </w:p>
        </w:tc>
        <w:tc>
          <w:tcPr/>
          <w:p>
            <w:pPr>
              <w:pStyle w:val="Compact"/>
              <w:jc w:val="left"/>
            </w:pPr>
            <w:r>
              <w:t xml:space="preserve">0.01</w:t>
            </w:r>
          </w:p>
        </w:tc>
      </w:tr>
      <w:tr>
        <w:tc>
          <w:tcPr/>
          <w:p>
            <w:pPr>
              <w:pStyle w:val="Compact"/>
              <w:jc w:val="left"/>
            </w:pPr>
            <w:r>
              <w:t xml:space="preserve">ROUTER</w:t>
            </w:r>
          </w:p>
        </w:tc>
        <w:tc>
          <w:tcPr/>
          <w:p>
            <w:pPr>
              <w:pStyle w:val="Compact"/>
              <w:jc w:val="left"/>
            </w:pPr>
            <w:r>
              <w:t xml:space="preserve">0.5x</w:t>
            </w:r>
          </w:p>
        </w:tc>
        <w:tc>
          <w:tcPr/>
          <w:p>
            <w:pPr>
              <w:pStyle w:val="Compact"/>
              <w:jc w:val="left"/>
            </w:pPr>
            <w:r>
              <w:t xml:space="preserve">0.01</w:t>
            </w:r>
          </w:p>
        </w:tc>
      </w:tr>
    </w:tbl>
    <w:p>
      <w:pPr>
        <w:pStyle w:val="BodyText"/>
      </w:pPr>
      <w:r>
        <w:rPr>
          <w:bCs/>
          <w:b/>
        </w:rPr>
        <w:t xml:space="preserve">Naming collision, stated explicitly to prevent confusion:</w:t>
      </w:r>
      <w:r>
        <w:t xml:space="preserve"> VALIDATOR is also the name of a stake tier (section 4, and the wallet's own Staking screen). A node's role and its stake tier are two entirely independent axes, assigned by two entirely different mechanisms — role is a random draw at birth, tier is a deterministic function of how much BIO an address has staked. A node with role ROUTER and stake tier ANCHOR VALIDATOR is a perfectly normal combination; the shared word is coincidental. Confirmed live on the production network: the founder's own node currently holds role ROUTER and stake tier NONE at the same time.</w:t>
      </w:r>
    </w:p>
    <w:p>
      <w:pPr>
        <w:pStyle w:val="BodyText"/>
      </w:pPr>
      <w:r>
        <w:t xml:space="preserve">The role is chosen uniformly at random the moment a node is born — no address chooses its own role, and nothing about an address's prior behavior influences the draw. If a node dies and is later reborn (a previously-dead address sends 21 fresh impulses again), it has a deterministic ~30% chance of inheriting its previous role instead of drawing a new one — deterministic, not `random.random()`, specifically because this runs inside consensus-critical code: every node on the network must compute the identical outcome independently, the same principle behind every other decision described in this document.</w:t>
      </w:r>
    </w:p>
    <w:p>
      <w:pPr>
        <w:pStyle w:val="BodyText"/>
      </w:pPr>
      <w:r>
        <w:t xml:space="preserve">Role isn't cosmetic. A node's `weight` — recent activity, reputation, and energy combined, energy weighted most heavily (×3) — must clear a governable threshold (`THETA_W`) before that node is allowed to finalize a block it's been selected for. A KEEPER's faster energy accumulation makes it clear that bar more reliably than a ROUTER, particularly for a newly-emerged node that hasn't built up reputation yet. If the selected validator doesn't clear the threshold, the block isn't rejected — it falls back to the same bootstrap-mode processing used before any node has emerged, rather than being hard-rejected. Validator selection itself (section 3.2b) is entirely unaffected by role; this check only gates whether the selected validator's block clears normally or falls back.</w:t>
      </w:r>
    </w:p>
    <w:p>
      <w:pPr>
        <w:pStyle w:val="BodyText"/>
      </w:pPr>
      <w:r>
        <w:t xml:space="preserve">The minimum time span closes a gap flagged in external review: 21 low-fee impulses alone were previously sufficient for a node — and one governance vote — to be born, letting anyone script mass node creation for the cost of gas alone. Requiring real elapsed wall-clock time between an address's first activity and its 21st impulse makes mass creation cost real time, not just a script, without tying voting weight to stake or requiring any identity check. The genesis grant tied to node birth (section 4.1) automatically inherits this same protection, since it fires only at the moment of emergence. Rebirth of an already-once-born address is not re-gated — the time cost was already paid at first birth.</w:t>
      </w:r>
    </w:p>
    <w:p>
      <w:pPr>
        <w:pStyle w:val="BodyText"/>
      </w:pPr>
      <w:r>
        <w:t xml:space="preserve">3.2a Node Discovery and Self-Announcement (v5.40)</w:t>
      </w:r>
    </w:p>
    <w:p>
      <w:pPr>
        <w:pStyle w:val="BodyText"/>
      </w:pPr>
      <w:r>
        <w:t xml:space="preserve">Trusted peers gossip about other nodes they know; a candidate is durably promoted to a trusted peer once confirmed by a strict majority of the current trust set — the threshold grows with the network rather than staying a fixed, cheap number. This spreads trust automatically among nodes that already trust each other, but does not by itself let a network discover a brand-new node's existence.</w:t>
      </w:r>
    </w:p>
    <w:p>
      <w:pPr>
        <w:pStyle w:val="BodyText"/>
      </w:pPr>
      <w:r>
        <w:t xml:space="preserve">A new mechanism closes that gap: a brand-new node can call POST /peer/announce on an existing node, passing a basic liveness check (the URL must respond like a real BioChain node) before being recorded as a candidate — matching Bitcoin's addr messages and Ethereum's FINDNODE self-identification. Critically, self-announcement can never itself satisfy the majority-confirmation threshold; it only makes a URL visible. Actual promotion still requires independent confirmation from already-trusted peers through normal gossip. Without this separation, an attacker could announce the same URL directly to every trusted peer and manufacture as many confirmations as peers reachable — a real design flaw caught and fixed during this same release, before deployment.</w:t>
      </w:r>
    </w:p>
    <w:p>
      <w:pPr>
        <w:pStyle w:val="BodyText"/>
      </w:pPr>
      <w:r>
        <w:t xml:space="preserve">3.2b How Block Validation Works (No Mining)</w:t>
      </w:r>
    </w:p>
    <w:p>
      <w:pPr>
        <w:pStyle w:val="BodyText"/>
      </w:pPr>
      <w:r>
        <w:t xml:space="preserve">BioChain has no mining in the Proof-of-Work sense — no computational race, no specialized hardware, no hashrate competition. Every block's validator is selected by a single deterministic formula, computed identically by every peer from data already agreed upon:</w:t>
      </w:r>
    </w:p>
    <w:p>
      <w:pPr>
        <w:pStyle w:val="BodyText"/>
      </w:pPr>
      <w:r>
        <w:t xml:space="preserve">seed = SHA-256(previous_block_hash + this_impulse_id)</w:t>
      </w:r>
    </w:p>
    <w:p>
      <w:pPr>
        <w:pStyle w:val="BodyText"/>
      </w:pPr>
      <w:r>
        <w:t xml:space="preserve">index = seed (as an integer) mod (number of currently alive nodes, sorted by address)</w:t>
      </w:r>
    </w:p>
    <w:p>
      <w:pPr>
        <w:pStyle w:val="BodyText"/>
      </w:pPr>
      <w:r>
        <w:t xml:space="preserve">validator = the node at that index</w:t>
      </w:r>
    </w:p>
    <w:p>
      <w:pPr>
        <w:pStyle w:val="BodyText"/>
      </w:pPr>
      <w:r>
        <w:t xml:space="preserve">This costs one hash computation, not a race between machines. Every peer, given the same chain state and the same incoming impulse, independently computes the identical validator — there is nothing to broadcast, nothing to race, and nothing for a well-resourced participant to gain an edge on by adding more hardware. Over many impulses, every live node has an equal chance of selection; the formula is deterministic per-impulse, not weighted by stake, hardware, or capital. A live node with a qualifying stake tier (see Stake Tiers) earns a reward multiplier if selected, but the selection odds themselves are untouched by stake — capital affects payout size, never the chance of being chosen.</w:t>
      </w:r>
    </w:p>
    <w:p>
      <w:pPr>
        <w:pStyle w:val="BodyText"/>
      </w:pPr>
      <w:r>
        <w:t xml:space="preserve">The practical consequence: at the network's current, early scale (a small number of live nodes), the same address can be selected for many consecutive blocks in a row — not a bug, but the direct, provable arithmetic of the modulo operation when the pool of live nodes is small. index = seed mod 1 always equals 0 when exactly one node is alive; there is no other value it could mathematically produce. This resolves itself automatically as more independent addresses complete node emergence (see 3.2) — no code change is required, only network growth.</w:t>
      </w:r>
    </w:p>
    <w:p>
      <w:pPr>
        <w:pStyle w:val="BodyText"/>
      </w:pPr>
      <w:r>
        <w:t xml:space="preserve">3.2c Energy Consumption, Compared Directly</w:t>
      </w:r>
    </w:p>
    <w:p>
      <w:pPr>
        <w:pStyle w:val="BodyText"/>
      </w:pPr>
      <w:r>
        <w:t xml:space="preserve">This absence of computational competition is a structural, not incidental, energy advantage over Proof-of-Work networks. For scale: Bitcoin's network draws an estimated 130–160 TWh annually as of early 2026 (Cambridge CBECI, Digiconomist) — comparable to the electricity consumption of an entire mid-sized country such as Poland or the Netherlands — with a single Bitcoin transaction estimated at roughly 1,200–1,335 kWh, more than a typical U.S. household consumes in a month. This cost is inherent to Proof-of-Work: thousands of specialized ASIC miners worldwide compete simultaneously to solve the same puzzle, and every unit of computation from every miner except the single winner is discarded.</w:t>
      </w:r>
    </w:p>
    <w:p>
      <w:pPr>
        <w:pStyle w:val="BodyText"/>
      </w:pPr>
      <w:r>
        <w:t xml:space="preserve">BioChain's validator selection is one SHA-256 hash computation per impulse, run once, by whichever nodes are already online. There is no purpose-built hardware, no discarded computation from losing competitors, and no incentive to add more hardware to increase selection odds. The network's total energy footprint scales with the number of servers actually running the software — ordinary cloud infrastructure (the two production nodes described in this document run on standard Hetzner Cloud instances) — not with a global hashrate arms race. This is a direct, unavoidable consequence of replacing computational competition with deterministic, verifiable selection, not a claim requiring separate optimization work.</w:t>
      </w:r>
    </w:p>
    <w:p>
      <w:pPr>
        <w:pStyle w:val="BodyText"/>
      </w:pPr>
      <w:r>
        <w:t xml:space="preserve">3.2d Halving, Compared to Bitcoin</w:t>
      </w:r>
    </w:p>
    <w:p>
      <w:pPr>
        <w:pStyle w:val="BodyText"/>
      </w:pPr>
      <w:r>
        <w:t xml:space="preserve">Both networks reduce new-issuance rewards on a schedule, but anchor that schedule differently. Bitcoin halves every 210,000 blocks — with a ~10-minute average block time, this works out to roughly four years per halving; four halvings have occurred to date (2012, 2016, 2020, 2024), taking the reward from an initial 50 BTC down to the current 3.125 BTC per block, with the last fractional Bitcoin not expected to be mined until around the year 2140.</w:t>
      </w:r>
    </w:p>
    <w:p>
      <w:pPr>
        <w:pStyle w:val="BodyText"/>
      </w:pPr>
      <w:r>
        <w:t xml:space="preserve">BioChain anchors halving to elapsed chain time directly (every 365 days since genesis) rather than to a block count, because BioChain's block production rate is not fixed the way Bitcoin's is — it is driven entirely by real transaction volume, which will vary. Anchoring to block count under a variable block-time model would make the halving schedule itself unpredictable; anchoring to elapsed time keeps the schedule calendar-predictable regardless of network activity level, at the cost of the per-block reward's real value depending on how active the network happens to be in a given year. Both approaches converge on the same underlying goal — an issuance curve that decays predictably toward the fixed 21,000,000 supply cap — reached by two different design tradeoffs suited to two different consensus mechanisms.</w:t>
      </w:r>
    </w:p>
    <w:p>
      <w:pPr>
        <w:pStyle w:val="BodyText"/>
      </w:pPr>
      <w:r>
        <w:t xml:space="preserve">A smooth taper (v5.40) supplements this schedule specifically for the small-network stage: below 10% of the validators pool's original genesis size, the paid reward additionally scales down linearly with the pool's remaining balance rather than paying the full scheduled amount until the exact instant the pool empties. Under realistic sustained activity (modeled at 1,000 transactions per day, well above the network's current early-stage volume), the combination of annual halving and this taper keeps the pool comfortably above its floor for well over a decade -- the first year's cost dominates, and each subsequent halved year costs roughly half as much as the last, converging quickly rather than draining linearly.</w:t>
      </w:r>
    </w:p>
    <w:p>
      <w:pPr>
        <w:pStyle w:val="BodyText"/>
      </w:pPr>
      <w:r>
        <w:t xml:space="preserve">3.2e Cryptographic Agility, Exercised (July 2026)</w:t>
      </w:r>
    </w:p>
    <w:p>
      <w:pPr>
        <w:pStyle w:val="BodyText"/>
      </w:pPr>
      <w:r>
        <w:t xml:space="preserve">The scheme_id foundation described in MATH_SPEC.md §0 was exercised end to end this month against both ML-DSA-65 and ML-DSA-87 (the next two security levels up within the same lattice family as ML-DSA-44) as isolated, throwaway test forks — never touching production, each with a fresh genesis, an empty peer list, and addresses deliberately incompatible with any real BioChain address.</w:t>
      </w:r>
    </w:p>
    <w:p>
      <w:pPr>
        <w:pStyle w:val="BodyText"/>
      </w:pPr>
      <w:r>
        <w:t xml:space="preserve">The tests were run in a Ubuntu environment: liboqs compiled from source, version-pinned, matching the same procedure documented for new node operators. Both forks passed full functional correctness (signature verification correctly accepts valid signatures and rejects tampered messages, wrong keys, and forged signatures in every case tested), and real, measured performance figures were captured directly, not assumed, all three levels measured together in a single run for a fair comparison:</w:t>
      </w:r>
    </w:p>
    <w:p>
      <w:pPr>
        <w:pStyle w:val="BodyText"/>
      </w:pPr>
      <w:r>
        <w:t xml:space="preserve">```</w:t>
      </w:r>
    </w:p>
    <w:p>
      <w:pPr>
        <w:pStyle w:val="BodyText"/>
      </w:pPr>
      <w:r>
        <w:t xml:space="preserve">ML-DSA-44 ML-DSA-65 ML-DSA-87</w:t>
      </w:r>
    </w:p>
    <w:p>
      <w:pPr>
        <w:pStyle w:val="BodyText"/>
      </w:pPr>
      <w:r>
        <w:t xml:space="preserve">public key 1,312 B 1,952 B 2,592 B</w:t>
      </w:r>
    </w:p>
    <w:p>
      <w:pPr>
        <w:pStyle w:val="BodyText"/>
      </w:pPr>
      <w:r>
        <w:t xml:space="preserve">signature 2,420 B 3,309 B 4,627 B</w:t>
      </w:r>
    </w:p>
    <w:p>
      <w:pPr>
        <w:pStyle w:val="BodyText"/>
      </w:pPr>
      <w:r>
        <w:t xml:space="preserve">keygen/sec 10,908 6,420 4,276</w:t>
      </w:r>
    </w:p>
    <w:p>
      <w:pPr>
        <w:pStyle w:val="BodyText"/>
      </w:pPr>
      <w:r>
        <w:t xml:space="preserve">sign/sec 2,697 1,644 1,363</w:t>
      </w:r>
    </w:p>
    <w:p>
      <w:pPr>
        <w:pStyle w:val="BodyText"/>
      </w:pPr>
      <w:r>
        <w:t xml:space="preserve">verify/sec 10,469 6,845 4,240</w:t>
      </w:r>
    </w:p>
    <w:p>
      <w:pPr>
        <w:pStyle w:val="BodyText"/>
      </w:pPr>
      <w:r>
        <w:t xml:space="preserve">relative to ML-DSA-44:</w:t>
      </w:r>
    </w:p>
    <w:p>
      <w:pPr>
        <w:pStyle w:val="BodyText"/>
      </w:pPr>
      <w:r>
        <w:t xml:space="preserve">ML-DSA-65: key 1.49x, signature 1.37x, verify 0.65x speed</w:t>
      </w:r>
    </w:p>
    <w:p>
      <w:pPr>
        <w:pStyle w:val="BodyText"/>
      </w:pPr>
      <w:r>
        <w:t xml:space="preserve">ML-DSA-87: key 1.98x, signature 1.91x, verify 0.40x speed</w:t>
      </w:r>
    </w:p>
    <w:p>
      <w:pPr>
        <w:pStyle w:val="BodyText"/>
      </w:pPr>
      <w:r>
        <w:t xml:space="preserve">```</w:t>
      </w:r>
    </w:p>
    <w:p>
      <w:pPr>
        <w:pStyle w:val="BodyText"/>
      </w:pPr>
      <w:r>
        <w:t xml:space="preserve">The security margin these levels buy is not linear the way the cost is: each level roughly doubles the bit-strength target (ML-DSA-44 ≈ AES-128-equivalent, ML-DSA-87 ≈ AES-256-equivalent), and every additional bit of strength doubles the computational cost of a brute-force break -- so the jump from 44 to 87 is a linear ~2x cost in bytes and time purchasing an exponential, not linear, increase in brute-force resistance headroom.</w:t>
      </w:r>
    </w:p>
    <w:p>
      <w:pPr>
        <w:pStyle w:val="BodyText"/>
      </w:pPr>
      <w:r>
        <w:t xml:space="preserve">Two of the regression suite's 195 checks fail against each fork by design, not by accident — both assert that address derivation defaults to the unmodified ML-DSA-44 formula, which each fork deliberately changes. Every other check, including the full consensus, governance, and HTLC swap logic, passes identically on both.</w:t>
      </w:r>
    </w:p>
    <w:p>
      <w:pPr>
        <w:pStyle w:val="BodyText"/>
      </w:pPr>
      <w:r>
        <w:t xml:space="preserve">No production code, database, or address format was touched by this exercise. It answers a narrower question than "should BioChain adopt a higher security level" — it answers "is the foundation for eventually doing so real, or aspirational," and the answer is that it is real: the same-family upgrade path works today, on real hardware, with a real cryptographic backend, at either level, whenever a decision is actually made to use one.</w:t>
      </w:r>
    </w:p>
    <w:p>
      <w:pPr>
        <w:pStyle w:val="BodyText"/>
      </w:pPr>
      <w:r>
        <w:t xml:space="preserve">3.3 - 3.6 Consensus Mechanics</w:t>
      </w:r>
    </w:p>
    <w:p>
      <w:pPr>
        <w:pStyle w:val="BodyText"/>
      </w:pPr>
      <w:r>
        <w:t xml:space="preserve">Deterministic validator selection, fully atomic block application (single SQLite transaction under RLock on every write path), isolated-replay fork resolution, and genesis-anchored emission/vesting clocks -- unchanged since v5.34 and re-validated by the full regression suite on every subsequent release, including this one.</w:t>
      </w:r>
    </w:p>
    <w:p>
      <w:pPr>
        <w:pStyle w:val="BodyText"/>
      </w:pPr>
      <w:r>
        <w:t xml:space="preserve">3.7 HTLC Atomic Swaps (v5.37)</w:t>
      </w:r>
    </w:p>
    <w:p>
      <w:pPr>
        <w:pStyle w:val="BodyText"/>
      </w:pPr>
      <w:r>
        <w:t xml:space="preserve">Custody-free swaps between BIO and any external asset via SWAP_OFFER / SWAP_LOCK / SWAP_CLAIM / SWAP_REFUND. Consensus reads nothing from the external chain — only SHA-256 preimage comparisons and integer timestamp checks against the chain's own recorded state.</w:t>
      </w:r>
    </w:p>
    <w:p>
      <w:pPr>
        <w:pStyle w:val="BodyText"/>
      </w:pPr>
      <w:r>
        <w:t xml:space="preserve">3.8 State Checkpoints and Fast Sync (v5.38)</w:t>
      </w:r>
    </w:p>
    <w:p>
      <w:pPr>
        <w:pStyle w:val="BodyText"/>
      </w:pPr>
      <w:r>
        <w:t xml:space="preserve">Full state snapshots at regular intervals let a new node adopt a hash-verified snapshot instead of replaying from genesis, falling back to full replay on any hash mismatch.</w:t>
      </w:r>
    </w:p>
    <w:p>
      <w:pPr>
        <w:pStyle w:val="BodyText"/>
      </w:pPr>
      <w:r>
        <w:t xml:space="preserve">3.9 Production Cryptography Backend (v5.39)</w:t>
      </w:r>
    </w:p>
    <w:p>
      <w:pPr>
        <w:pStyle w:val="BodyText"/>
      </w:pPr>
      <w:r>
        <w:t xml:space="preserve">v5.39 replaced the verification backend with liboqs (the C reference implementation behind the NIST ML-DSA standardisation effort itself). Measured on the production server: dilithium_py verified ~194 signatures/second; liboqs verifies ~44,365/second on the same hardware — roughly a 228x improvement in raw cryptographic throughput. The backend falls back to dilithium_py automatically, with a loud startup warning, if liboqs is unavailable — there is no silent degradation.</w:t>
      </w:r>
    </w:p>
    <w:p>
      <w:pPr>
        <w:pStyle w:val="BodyText"/>
      </w:pPr>
      <w:r>
        <w:t xml:space="preserve">3.10 Operational Hardening (v5.40)</w:t>
      </w:r>
    </w:p>
    <w:p>
      <w:pPr>
        <w:pStyle w:val="BodyText"/>
      </w:pPr>
      <w:r>
        <w:t xml:space="preserve">The node runs as a systemd service (Restart=on-failure, enabled at boot). The direct port to the API process is closed at the firewall — every external request reaches the backend exclusively through the TLS-terminated nginx proxy. The database is backed up on an automated schedule via sqlite3's own .backup command, with old backups rotated out to bound disk usage.</w:t>
      </w:r>
    </w:p>
    <w:p>
      <w:pPr>
        <w:pStyle w:val="BodyText"/>
      </w:pPr>
      <w:r>
        <w:t xml:space="preserve">3.11 Cryptographic Agility Foundation (v5.43)</w:t>
      </w:r>
    </w:p>
    <w:p>
      <w:pPr>
        <w:pStyle w:val="BodyText"/>
      </w:pPr>
      <w:r>
        <w:t xml:space="preserve">Every signature on this chain is ML-DSA-44 today, and only ML-DSA-44 — nothing described here changes that. Address derivation and signature verification now accept an optional scheme identifier, defaulting to "MLDSA44". A wallet's own database row also carries a persisted scheme column, defaulting to the same value, so the distinction survives restarts and migrations. This exists solely so that a second signature scheme could be added later — if a real cryptanalytic advance against lattice-based signatures ever demanded one — without a new genesis and without breaking a single existing address. No second scheme is implemented, registered, or planned; verification rejects any scheme identifier other than "MLDSA44" outright, with no silent fallback. This is a foundation, not a feature: it costs nothing today, and it removes one obstacle from a future the network hopes never actually to need.</w:t>
      </w:r>
    </w:p>
    <w:p>
      <w:pPr>
        <w:pStyle w:val="BodyText"/>
      </w:pPr>
      <w:r>
        <w:rPr>
          <w:bCs/>
          <w:b/>
        </w:rPr>
        <w:t xml:space="preserve">A note on why this foundation was not used for the July 28, 2026 address-length change (section 3.1):</w:t>
      </w:r>
      <w:r>
        <w:t xml:space="preserve"> the honest answer is that it wasn't, deliberately. The agility mechanism above exists precisely for changes like extending the address hash length, and a future format change should use it. This one instead changed the default "MLDSA44" formula directly, coordinated with a full network genesis reset, because the network was still small enough (two nodes, no third-party wallets yet) to reset cleanly rather than carry two address formats forward. That made this one instance simpler to reason about than introducing a second scheme_id this early, but it is not the template for next time – see MATH_SPEC.md §0 for the same disclosure in the formula's own home document.</w:t>
      </w:r>
    </w:p>
    <w:p>
      <w:pPr>
        <w:pStyle w:val="BodyText"/>
      </w:pPr>
      <w:r>
        <w:t xml:space="preserve">3.12 Scale and Performance Work (July 2026) — Deployed</w:t>
      </w:r>
    </w:p>
    <w:p>
      <w:pPr>
        <w:pStyle w:val="BodyText"/>
      </w:pPr>
      <w:r>
        <w:t xml:space="preserve">In July 2026, eight targeted performance fixes were designed, implemented, and verified, then deployed to both production nodes (biochainnetwork.com, node2.biochainnetwork.com) on July 21, 2026.</w:t>
      </w:r>
    </w:p>
    <w:p>
      <w:pPr>
        <w:pStyle w:val="BodyText"/>
      </w:pPr>
      <w:r>
        <w:t xml:space="preserve">The work was prompted by two real, reproducible findings under load testing: at 12,000 live nodes, real HTTP throughput dropped to roughly 1 transaction per second, with most requests hitting a 10-second timeout; separately, a chain grown to 258,938 blocks saw a single /verify call take over four minutes. Both pointed to genuine scale limits well ahead of where the network is headed.</w:t>
      </w:r>
    </w:p>
    <w:p>
      <w:pPr>
        <w:pStyle w:val="BodyText"/>
      </w:pPr>
      <w:r>
        <w:t xml:space="preserve">Seven of the eight fixes change no formula — only the internal computation strategy: a cached, sorted alive-node list replaces re-sorting on every impulse (313 → up to 425,386 selections/sec at 12,000 nodes); batched decay commits reduced per-block database writes from 12,000 to one (~920ms → ~77ms); event-driven node death replaces a per-block full sweep with a lazily-updated min-heap (~134ms → ~17ms for fixes 1–3 combined); balance rollback now tracks only the handful of nodes an actual transaction touches, via a Node.balance property (~17ms → ~7.85ms); /verify's integrity check now caches how far the chain has already been confirmed, re-scanning only new blocks (12.53ms → 0.04ms at 100,000 blocks; 28.00ms → 0.04ms at 500,000); blocks older than a 50,000-block hot window are held as lightweight references instead of full objects, keeping memory and throughput flat at 500,000 blocks where they previously collapsed; and periodic SQLite WAL checkpointing keeps the WAL file bounded, confirmed live in production on both servers on deployment day, with all outstanding frames checkpointed cleanly on both.</w:t>
      </w:r>
    </w:p>
    <w:p>
      <w:pPr>
        <w:pStyle w:val="BodyText"/>
      </w:pPr>
      <w:r>
        <w:t xml:space="preserve">The eighth fix is a governance change, not a performance one: the flat 0.01 BIO component of the transfer fee is now itself governable (bounds [0, 1] BIO), closing a gap where only the percentage component could be adjusted by vote — the same class of hardcoded-minimum-fee problem Bitcoin had to remove by hard fork in 2010–11.</w:t>
      </w:r>
    </w:p>
    <w:p>
      <w:pPr>
        <w:pStyle w:val="BodyText"/>
      </w:pPr>
      <w:r>
        <w:t xml:space="preserve">All eight fixes pass the full 194/195-check regression suite (195 with liboqs present), individually and together, and the exact deployed file's hash was confirmed identical on both servers. Two things remain to mature with real usage rather than synthetic testing: the 50,000-block hot-window path, since the live chain is well short of that threshold as of deployment, and the governable flat fee, since no proposal has yet targeted it.</w:t>
      </w:r>
    </w:p>
    <w:p>
      <w:pPr>
        <w:pStyle w:val="BodyText"/>
      </w:pPr>
      <w:r>
        <w:t xml:space="preserve">3.13 Security Hardening (July 2026)</w:t>
      </w:r>
    </w:p>
    <w:p>
      <w:pPr>
        <w:pStyle w:val="BodyText"/>
      </w:pPr>
      <w:r>
        <w:t xml:space="preserve">Between July 26 and July 28, 2026, several independent rounds of automated code review were run against the production codebase, each one re-checked against the actual current file rather than accepted at face value – a meaningful number of findings across these rounds turned out to already be correctly handled, or to describe a less severe issue than first stated, once verified directly, in several cases with a real reproduction rather than a reading of the code alone. That verification discipline is itself part of what shipped, not incidental to it. What follows are the findings confirmed real and fixed; MATH_SPEC.md section 15 has the exact mechanism for each, for anyone who wants the precise formulas and code-level detail rather than the summary here.</w:t>
      </w:r>
    </w:p>
    <w:p>
      <w:pPr>
        <w:pStyle w:val="BodyText"/>
      </w:pPr>
      <w:r>
        <w:t xml:space="preserve">Five fixes close gaps in what happens when something goes wrong mid-transaction, rather than in the ordinary case. The five-bucket supply invariant (section 4.4) now runs automatically after every single block, not only when someone calls the verification endpoint – any violation rolls the entire block back before it can be persisted or relayed anywhere. A governance vote’s effect on live network parameters now correctly reverts if anything fails while applying it, including a failure inside the application step itself. Longevity and unstake reward payouts, which each touch two separate pieces of state (crediting a balance and marking that specific reward paid), are now atomic at the database level via SQLite’s own savepoint mechanism – deliberately scoped to one node’s own payout attempt at a time, so a fault specific to one node’s data can never make every subsequent block fail the same way and stall the whole chain, while a different payout (founder vesting, which touches only one recipient per attempt) was instead given the opposite fix, letting a fault there propagate to a full block rollback, the safer choice given its particular ordering of steps. And if a node’s own local database is found corrupted at restart — a broken link between two adjacent blocks it already has, not a disagreement with a peer — it now refuses to start at all rather than continuing to run on it, pointing directly at the most recent automated backup.</w:t>
      </w:r>
    </w:p>
    <w:p>
      <w:pPr>
        <w:pStyle w:val="BodyText"/>
      </w:pPr>
      <w:r>
        <w:t xml:space="preserve">Three fixes close gaps specifically in how peers are verified and trusted. A block received from a peer was already re-checked for a legitimately, deterministically selected validator (section 3.2b); it is now also re-checked against the same finalization-weight bar a locally-produced block must clear, which previously only applied locally. Self-announcement (section 3.2a), previously a bare URL with no proof behind it, now requires the same signed-request discipline every fund-affecting endpoint already required – a real ML-DSA-44 keypair and signature, raising the cost of flooding the candidate list independent of the majority-confirmation gate that already governs actual promotion. And the automatic safety check that blocks a candidate peer from resolving to an internal or cloud-metadata address had a real, if narrow, gap for HTTP candidates specifically: the safety check and the actual connection previously resolved the target hostname separately, which a malicious DNS server could exploit by answering differently the second time. The connection now reuses the exact address already verified safe. HTTPS candidates are a disclosed, narrower exception – closing the same gap there would require either breaking normal certificate validation or a materially larger change, so this specific window is accepted rather than rushed; nothing about this affects the independent cryptographic re-verification every piece of actual chain data still undergoes regardless of source (section 8).</w:t>
      </w:r>
    </w:p>
    <w:p>
      <w:pPr>
        <w:pStyle w:val="BodyText"/>
      </w:pPr>
      <w:r>
        <w:t xml:space="preserve">The remaining fixes are smaller in scope but real: a public key’s length is now checked consistently on both paths that verify a signature, not only the one most commonly exercised; two read endpoints that could, in a narrow timing window during fork adoption, observe a transiently inconsistent view of node state now use the same thread-safe access the rest of the API already used correctly; the background peer-sync, gossip, and signature-pruning loops now shut down cleanly on a real termination signal instead of being killed mid-write, verified directly with five back-to-back real </w:t>
      </w:r>
      <w:r>
        <w:rPr>
          <w:rStyle w:val="VerbatimChar"/>
        </w:rPr>
        <w:t xml:space="preserve">SIGKILL</w:t>
      </w:r>
      <w:r>
        <w:t xml:space="preserve"> restarts on production hardware with zero integrity warnings afterward; and a single peer claiming a fork can no longer force a full, expensive resolution attempt more than once every five minutes.</w:t>
      </w:r>
    </w:p>
    <w:p>
      <w:pPr>
        <w:pStyle w:val="BodyText"/>
      </w:pPr>
      <w:r>
        <w:t xml:space="preserve">State-snapshot fast sync (section 3.8) was found to have a real, specific gap during this review – adopting a snapshot does not yet correctly re-establish the local chain’s length, since the snapshot deliberately excludes full block history for size reasons, which would cause a subsequent sync to needlessly re-fetch and re-apply the entire real chain on top of already-current balances. Rather than ship a half-fixed version, fast sync is disabled outright for now (</w:t>
      </w:r>
      <w:r>
        <w:rPr>
          <w:rStyle w:val="VerbatimChar"/>
        </w:rPr>
        <w:t xml:space="preserve">FAST_SYNC_ENABLED = False</w:t>
      </w:r>
      <w:r>
        <w:t xml:space="preserve">); ordinary block-by-block sync, which doesn’t have this gap, is unaffected and remains the only sync path in use. The correct fix is understood and scoped, not merely deferred – see MATH_SPEC.md section 15 for exactly what it requires. This gap is now fixed – see section 3.14.</w:t>
      </w:r>
    </w:p>
    <w:p>
      <w:pPr>
        <w:pStyle w:val="BodyText"/>
      </w:pPr>
      <w:r>
        <w:t xml:space="preserve">This work shipped together with the address-length change (section 3.1) and a full network genesis reset, both July 28, 2026. The regression suite grew from 194 checks to 253, with every fix above individually covered, confirmed against both a lightweight crypto stub for fast iteration and, separately, the real ML-DSA-44 backend on actual production hardware – the 253-check, zero-failure run against real liboqs on production hardware is what’s confirmed, not only the faster stub-backed version used during development. One structural class of bug the rest of the suite cannot catch by its own construction – an HTTP route silently bound to the wrong handler function, since every other check calls Python functions directly rather than through the actual web framework’s routing layer – is now separately checked by inspecting the live route table itself, and this exact bug was caught by writing that check, not found first and tested afterward. Peer-to-peer synchronization between the two independently-operated production nodes was re-confirmed immediately after the reset, on live infrastructure: a real transaction submitted on server1 was independently observed, correctly credited, on server2 through ordinary peer sync alone.</w:t>
      </w:r>
    </w:p>
    <w:p>
      <w:pPr>
        <w:pStyle w:val="BodyText"/>
      </w:pPr>
      <w:r>
        <w:t xml:space="preserve">3.14 Crypto Agility Facade and Real Fast State-Sync (August 2026)</w:t>
      </w:r>
    </w:p>
    <w:p>
      <w:pPr>
        <w:pStyle w:val="BodyText"/>
      </w:pPr>
      <w:r>
        <w:t xml:space="preserve">Two related pieces of work, deployed together to both production nodes. The first is architectural, with no change in behavior: a SignatureVerifier interface now sits between the rest of the codebase and the actual cryptographic implementation, which today is exactly the same liboqs-backed logic as always, verified byte-for-byte identical to the pre-existing code – same address from the same public key, a signature made by either the old code path or the new one verifies correctly under both, a tampered message is rejected by both, confirmed independently on real liboqs on both production nodes before deploy. The entire purpose is that a future non-Python signature-verification implementation – a Rust service, for instance, developed separately from this work – becomes a single import line to switch to, not a codebase-wide search and replace. No such implementation exists yet; this is foundation only, in the same spirit as the cryptographic agility groundwork in section 3.11.</w:t>
      </w:r>
    </w:p>
    <w:p>
      <w:pPr>
        <w:pStyle w:val="BodyText"/>
      </w:pPr>
      <w:r>
        <w:t xml:space="preserve">The second is the actual fix to the gap section 3.13 identified and left deliberately disabled: state-snapshot fast sync did not correctly re-establish the local chain's length after adopting a snapshot, so a block received immediately afterward could not validate its own link back to the chain, and an ordinary sync that followed would silently re-fetch and re-apply the entire chain from block zero on top of already-current balances. The fix fetches the real block at the snapshot's boundary height from the peer – not a placeholder, the actual block with its actual hash – and inserts it as an anchor before adopting the snapshot, so the next block received validates correctly against it.</w:t>
      </w:r>
    </w:p>
    <w:p>
      <w:pPr>
        <w:pStyle w:val="BodyText"/>
      </w:pPr>
      <w:r>
        <w:t xml:space="preserve">That fix surfaced a second, related problem during testing. Throughout the codebase, the length of the in-memory block list had been used interchangeably with "the network's current height" – correct only when the chain is contiguous from block zero, which it always had been until this point. Once a node can legitimately hold a sparse chain, an anchor block at some height above zero rather than full history beneath it, the two meanings diverge. Roughly thirty places in the code that genuinely meant "current height" – block creation, the endpoints that report chain length, the requests a node makes to catch up with a peer – were individually reviewed and corrected to read the true height directly from the chain's tip block rather than the list's length; places that genuinely meant list length, rather than height, were confirmed to still mean that and left alone. One class of endpoint needed a further correction beyond the simple substitution: the two paths that serve a range of blocks to a peer by requested height now translate that height into the correct position in the list via the first loaded block's own real index, rather than treating the requested height as a list position directly, which would misalign once the chain is sparse.</w:t>
      </w:r>
    </w:p>
    <w:p>
      <w:pPr>
        <w:pStyle w:val="BodyText"/>
      </w:pPr>
      <w:r>
        <w:t xml:space="preserve">One limitation is not fixed in this pass and is documented at the point in the code it applies: fork resolution still compares a local chain against a peer's offered chain by list position rather than real height, which would misalign for a node that had bootstrapped from a snapshot and subsequently encountered a genuine fork. This is safe today because no production node has actually held a sparse chain before this deployment, and it does not affect ordinary block-by-block catch-up, which does not use this comparison.</w:t>
      </w:r>
    </w:p>
    <w:p>
      <w:pPr>
        <w:pStyle w:val="BodyText"/>
      </w:pPr>
      <w:r>
        <w:t xml:space="preserve">The regression suite grew to 271 checks, including a new, explicit test that the two independent code paths capable of applying a block – one originating locally, one received from a peer – debit the sender the identical fee formula, not two formulas that simply happen to agree today. Section 38 of the suite drives two fully independent node instances through the exact scenario this section describes: a node with real history forces an early snapshot, a second, empty node adopts it over real HTTP-shaped requests, and – the part section 3.13's self-recognition checks never exercise – an ordinary block is then synced on top of that sparse history and applied correctly. This addition found and fixed a genuine gap in the process: it initially passed against the suite's own sandbox crypto stub but failed against real liboqs on server1, because that environment has real fastapi installed, whose route structure differs from the stub's – now handles both correctly. All 271 checks pass with zero failures on real liboqs, independently, on both production nodes, not merely against a lightweight crypto stub. Both nodes were stopped, backed up (database and code, timestamped), updated, and restarted with fast sync re-enabled; both verified valid with the exact 21,000,000 BIO supply invariant and identical chain length immediately afterward, and again after a live transaction was independently submitted to confirm ordinary operation was unaffected. Exact formulas and the full technical detail for both pieces of this work are in MATH_SPEC.md section 16.</w:t>
      </w:r>
    </w:p>
    <w:p>
      <w:pPr>
        <w:pStyle w:val="BodyText"/>
      </w:pPr>
      <w:r>
        <w:t xml:space="preserve">4. Tokenomics</w:t>
      </w:r>
    </w:p>
    <w:p>
      <w:pPr>
        <w:pStyle w:val="BodyText"/>
      </w:pPr>
      <w:r>
        <w:t xml:space="preserve">4.1 Supply Distribution</w:t>
      </w:r>
    </w:p>
    <w:tbl>
      <w:tblPr>
        <w:tblStyle w:val="Table"/>
        <w:tblW w:type="pct" w:w="4865"/>
        <w:tblLook w:firstRow="0" w:lastRow="0" w:firstColumn="0" w:lastColumn="0" w:noHBand="0" w:noVBand="0" w:val="0000"/>
        <w:jc w:val="start"/>
      </w:tblPr>
      <w:tblGrid>
        <w:gridCol w:w="2568"/>
        <w:gridCol w:w="2568"/>
        <w:gridCol w:w="2568"/>
      </w:tblGrid>
      <w:tr>
        <w:tc>
          <w:tcPr/>
          <w:p>
            <w:pPr>
              <w:pStyle w:val="Compact"/>
              <w:jc w:val="left"/>
            </w:pPr>
            <w:r>
              <w:rPr>
                <w:bCs/>
                <w:b/>
              </w:rPr>
              <w:t xml:space="preserve">Pool</w:t>
            </w:r>
          </w:p>
        </w:tc>
        <w:tc>
          <w:tcPr/>
          <w:p>
            <w:pPr>
              <w:pStyle w:val="Compact"/>
              <w:jc w:val="left"/>
            </w:pPr>
            <w:r>
              <w:rPr>
                <w:bCs/>
                <w:b/>
              </w:rPr>
              <w:t xml:space="preserve">Share</w:t>
            </w:r>
          </w:p>
        </w:tc>
        <w:tc>
          <w:tcPr/>
          <w:p>
            <w:pPr>
              <w:pStyle w:val="Compact"/>
              <w:jc w:val="left"/>
            </w:pPr>
            <w:r>
              <w:rPr>
                <w:bCs/>
                <w:b/>
              </w:rPr>
              <w:t xml:space="preserve">Amount</w:t>
            </w:r>
          </w:p>
        </w:tc>
      </w:tr>
      <w:tr>
        <w:tc>
          <w:tcPr/>
          <w:p>
            <w:pPr>
              <w:pStyle w:val="Compact"/>
              <w:jc w:val="left"/>
            </w:pPr>
            <w:r>
              <w:t xml:space="preserve">Validators</w:t>
            </w:r>
          </w:p>
        </w:tc>
        <w:tc>
          <w:tcPr/>
          <w:p>
            <w:pPr>
              <w:pStyle w:val="Compact"/>
              <w:jc w:val="left"/>
            </w:pPr>
            <w:r>
              <w:t xml:space="preserve">40.00%</w:t>
            </w:r>
          </w:p>
        </w:tc>
        <w:tc>
          <w:tcPr/>
          <w:p>
            <w:pPr>
              <w:pStyle w:val="Compact"/>
              <w:jc w:val="left"/>
            </w:pPr>
            <w:r>
              <w:t xml:space="preserve">8,400,000 BIO</w:t>
            </w:r>
          </w:p>
        </w:tc>
      </w:tr>
      <w:tr>
        <w:tc>
          <w:tcPr/>
          <w:p>
            <w:pPr>
              <w:pStyle w:val="Compact"/>
              <w:jc w:val="left"/>
            </w:pPr>
            <w:r>
              <w:t xml:space="preserve">Ecosystem</w:t>
            </w:r>
          </w:p>
        </w:tc>
        <w:tc>
          <w:tcPr/>
          <w:p>
            <w:pPr>
              <w:pStyle w:val="Compact"/>
              <w:jc w:val="left"/>
            </w:pPr>
            <w:r>
              <w:t xml:space="preserve">30.00%</w:t>
            </w:r>
          </w:p>
        </w:tc>
        <w:tc>
          <w:tcPr/>
          <w:p>
            <w:pPr>
              <w:pStyle w:val="Compact"/>
              <w:jc w:val="left"/>
            </w:pPr>
            <w:r>
              <w:t xml:space="preserve">6,300,000 BIO</w:t>
            </w:r>
          </w:p>
        </w:tc>
      </w:tr>
      <w:tr>
        <w:tc>
          <w:tcPr/>
          <w:p>
            <w:pPr>
              <w:pStyle w:val="Compact"/>
              <w:jc w:val="left"/>
            </w:pPr>
            <w:r>
              <w:t xml:space="preserve">Reserve</w:t>
            </w:r>
          </w:p>
        </w:tc>
        <w:tc>
          <w:tcPr/>
          <w:p>
            <w:pPr>
              <w:pStyle w:val="Compact"/>
              <w:jc w:val="left"/>
            </w:pPr>
            <w:r>
              <w:t xml:space="preserve">20.00%</w:t>
            </w:r>
          </w:p>
        </w:tc>
        <w:tc>
          <w:tcPr/>
          <w:p>
            <w:pPr>
              <w:pStyle w:val="Compact"/>
              <w:jc w:val="left"/>
            </w:pPr>
            <w:r>
              <w:t xml:space="preserve">4,200,000 BIO</w:t>
            </w:r>
          </w:p>
        </w:tc>
      </w:tr>
      <w:tr>
        <w:tc>
          <w:tcPr/>
          <w:p>
            <w:pPr>
              <w:pStyle w:val="Compact"/>
              <w:jc w:val="left"/>
            </w:pPr>
            <w:r>
              <w:t xml:space="preserve">Team (vesting)</w:t>
            </w:r>
          </w:p>
        </w:tc>
        <w:tc>
          <w:tcPr/>
          <w:p>
            <w:pPr>
              <w:pStyle w:val="Compact"/>
              <w:jc w:val="left"/>
            </w:pPr>
            <w:r>
              <w:t xml:space="preserve">5.00%</w:t>
            </w:r>
          </w:p>
        </w:tc>
        <w:tc>
          <w:tcPr/>
          <w:p>
            <w:pPr>
              <w:pStyle w:val="Compact"/>
              <w:jc w:val="left"/>
            </w:pPr>
            <w:r>
              <w:t xml:space="preserve">1,050,000 BIO</w:t>
            </w:r>
          </w:p>
        </w:tc>
      </w:tr>
      <w:tr>
        <w:tc>
          <w:tcPr/>
          <w:p>
            <w:pPr>
              <w:pStyle w:val="Compact"/>
              <w:jc w:val="left"/>
            </w:pPr>
            <w:r>
              <w:t xml:space="preserve">Genesis grants</w:t>
            </w:r>
          </w:p>
        </w:tc>
        <w:tc>
          <w:tcPr/>
          <w:p>
            <w:pPr>
              <w:pStyle w:val="Compact"/>
              <w:jc w:val="left"/>
            </w:pPr>
            <w:r>
              <w:t xml:space="preserve">3.90%</w:t>
            </w:r>
          </w:p>
        </w:tc>
        <w:tc>
          <w:tcPr/>
          <w:p>
            <w:pPr>
              <w:pStyle w:val="Compact"/>
              <w:jc w:val="left"/>
            </w:pPr>
            <w:r>
              <w:t xml:space="preserve">820,000 BIO</w:t>
            </w:r>
          </w:p>
        </w:tc>
      </w:tr>
      <w:tr>
        <w:tc>
          <w:tcPr/>
          <w:p>
            <w:pPr>
              <w:pStyle w:val="Compact"/>
              <w:jc w:val="left"/>
            </w:pPr>
            <w:r>
              <w:t xml:space="preserve">Listing reserve</w:t>
            </w:r>
          </w:p>
        </w:tc>
        <w:tc>
          <w:tcPr/>
          <w:p>
            <w:pPr>
              <w:pStyle w:val="Compact"/>
              <w:jc w:val="left"/>
            </w:pPr>
            <w:r>
              <w:t xml:space="preserve">1.10%</w:t>
            </w:r>
          </w:p>
        </w:tc>
        <w:tc>
          <w:tcPr/>
          <w:p>
            <w:pPr>
              <w:pStyle w:val="Compact"/>
              <w:jc w:val="left"/>
            </w:pPr>
            <w:r>
              <w:t xml:space="preserve">230,000 BIO</w:t>
            </w:r>
          </w:p>
        </w:tc>
      </w:tr>
      <w:tr>
        <w:tc>
          <w:tcPr/>
          <w:p>
            <w:pPr>
              <w:pStyle w:val="Compact"/>
              <w:jc w:val="left"/>
            </w:pPr>
            <w:r>
              <w:t xml:space="preserve">Total</w:t>
            </w:r>
          </w:p>
        </w:tc>
        <w:tc>
          <w:tcPr/>
          <w:p>
            <w:pPr>
              <w:pStyle w:val="Compact"/>
              <w:jc w:val="left"/>
            </w:pPr>
            <w:r>
              <w:t xml:space="preserve">100.00%</w:t>
            </w:r>
          </w:p>
        </w:tc>
        <w:tc>
          <w:tcPr/>
          <w:p>
            <w:pPr>
              <w:pStyle w:val="Compact"/>
              <w:jc w:val="left"/>
            </w:pPr>
            <w:r>
              <w:t xml:space="preserve">21,000,000 BIO (hard cap, immutable)</w:t>
            </w:r>
          </w:p>
        </w:tc>
      </w:tr>
    </w:tbl>
    <w:p>
      <w:pPr>
        <w:pStyle w:val="BodyText"/>
      </w:pPr>
      <w:r>
        <w:t xml:space="preserve">The genesis pool's 820,000 BIO is not one flat bucket. At the network's first boot, three carve-outs happen automatically, once each: the founder's own starting balance (10,000 BIO, funding the first live node before any real activity existed); the wallet-registration grant pool (1,000 BIO, funding 10 BIO to each of the first 100 wallets ever registered); and, added in v5.40, a 509,000 BIO developer-grants pool (section 4.6, split in v5.41 into developer and server-operator grants) — resolving a previously undocumented, unspent remainder. The remaining up to 300,000 BIO funds the tiered genesis grants below. All four sum to exactly 820,000 BIO.</w:t>
      </w:r>
    </w:p>
    <w:p>
      <w:pPr>
        <w:pStyle w:val="BodyText"/>
      </w:pPr>
      <w:r>
        <w:t xml:space="preserve">Funds temporarily escrowed in an open HTLC swap are not a pool allocation — they remain the property of the locking party and are counted as a separate, transient supply bucket ("locked") until claimed or refunded.</w:t>
      </w:r>
    </w:p>
    <w:p>
      <w:pPr>
        <w:pStyle w:val="BodyText"/>
      </w:pPr>
      <w:r>
        <w:t xml:space="preserve">4.2 Emission Schedule</w:t>
      </w:r>
    </w:p>
    <w:p>
      <w:pPr>
        <w:pStyle w:val="BodyText"/>
      </w:pPr>
      <w:r>
        <w:t xml:space="preserve">Block reward follows annual halvings anchored to the genesis block timestamp: 10 BIO per block initially, halving every 365 days of chain time, floored at 0.001 BIO.</w:t>
      </w:r>
    </w:p>
    <w:p>
      <w:pPr>
        <w:pStyle w:val="BodyText"/>
      </w:pPr>
      <w:r>
        <w:t xml:space="preserve">Smooth taper (v5.40): the reward actually paid no longer cliffs straight to zero the instant the validators pool empties. Below 10% of the pool's original genesis size (840,000 BIO), the paid reward scales down linearly with whatever balance remains, reaching exactly zero only when the pool itself reaches exactly zero — replacing a hard cutoff with a gradual signal, addressing a "death spiral" risk flagged in external review, where a sudden drop to zero rewards could trigger a validator exodus that further starves the pool.</w:t>
      </w:r>
    </w:p>
    <w:p>
      <w:pPr>
        <w:pStyle w:val="BodyText"/>
      </w:pPr>
      <w:r>
        <w:t xml:space="preserve">Transaction fees flow into the validators pool, minus whatever fraction is currently being destroyed by partial fee burning (below).</w:t>
      </w:r>
    </w:p>
    <w:p>
      <w:pPr>
        <w:pStyle w:val="BodyText"/>
      </w:pPr>
      <w:r>
        <w:t xml:space="preserve">4.3 Fee Structure</w:t>
      </w:r>
    </w:p>
    <w:tbl>
      <w:tblPr>
        <w:tblStyle w:val="Table"/>
        <w:tblW w:type="pct" w:w="4865"/>
        <w:tblLook w:firstRow="0" w:lastRow="0" w:firstColumn="0" w:lastColumn="0" w:noHBand="0" w:noVBand="0" w:val="0000"/>
        <w:jc w:val="start"/>
      </w:tblPr>
      <w:tblGrid>
        <w:gridCol w:w="3852"/>
        <w:gridCol w:w="3852"/>
      </w:tblGrid>
      <w:tr>
        <w:tc>
          <w:tcPr/>
          <w:p>
            <w:pPr>
              <w:pStyle w:val="Compact"/>
              <w:jc w:val="left"/>
            </w:pPr>
            <w:r>
              <w:rPr>
                <w:bCs/>
                <w:b/>
              </w:rPr>
              <w:t xml:space="preserve">Fee</w:t>
            </w:r>
          </w:p>
        </w:tc>
        <w:tc>
          <w:tcPr/>
          <w:p>
            <w:pPr>
              <w:pStyle w:val="Compact"/>
              <w:jc w:val="left"/>
            </w:pPr>
            <w:r>
              <w:rPr>
                <w:bCs/>
                <w:b/>
              </w:rPr>
              <w:t xml:space="preserve">Amount</w:t>
            </w:r>
          </w:p>
        </w:tc>
      </w:tr>
      <w:tr>
        <w:tc>
          <w:tcPr/>
          <w:p>
            <w:pPr>
              <w:pStyle w:val="Compact"/>
              <w:jc w:val="left"/>
            </w:pPr>
            <w:r>
              <w:t xml:space="preserve">Transfer fee</w:t>
            </w:r>
          </w:p>
        </w:tc>
        <w:tc>
          <w:tcPr/>
          <w:p>
            <w:pPr>
              <w:pStyle w:val="Compact"/>
              <w:jc w:val="left"/>
            </w:pPr>
            <w:r>
              <w:t xml:space="preserve">0.01 BIO (flat) + 0.05% of value</w:t>
            </w:r>
          </w:p>
        </w:tc>
      </w:tr>
      <w:tr>
        <w:tc>
          <w:tcPr/>
          <w:p>
            <w:pPr>
              <w:pStyle w:val="Compact"/>
              <w:jc w:val="left"/>
            </w:pPr>
            <w:r>
              <w:t xml:space="preserve">Stake fee</w:t>
            </w:r>
          </w:p>
        </w:tc>
        <w:tc>
          <w:tcPr/>
          <w:p>
            <w:pPr>
              <w:pStyle w:val="Compact"/>
              <w:jc w:val="left"/>
            </w:pPr>
            <w:r>
              <w:t xml:space="preserve">1.0 BIO flat</w:t>
            </w:r>
          </w:p>
        </w:tc>
      </w:tr>
      <w:tr>
        <w:tc>
          <w:tcPr/>
          <w:p>
            <w:pPr>
              <w:pStyle w:val="Compact"/>
              <w:jc w:val="left"/>
            </w:pPr>
            <w:r>
              <w:t xml:space="preserve">Unstake / Proposal / Vote</w:t>
            </w:r>
          </w:p>
        </w:tc>
        <w:tc>
          <w:tcPr/>
          <w:p>
            <w:pPr>
              <w:pStyle w:val="Compact"/>
              <w:jc w:val="left"/>
            </w:pPr>
            <w:r>
              <w:t xml:space="preserve">Free</w:t>
            </w:r>
          </w:p>
        </w:tc>
      </w:tr>
    </w:tbl>
    <w:p>
      <w:pPr>
        <w:pStyle w:val="BodyText"/>
      </w:pPr>
      <w:r>
        <w:t xml:space="preserve">Partial fee burning (v5.40): a governable percentage of every fee (FEE_BURN_PERCENT, range 0–50%) is permanently destroyed rather than added to the validators pool. Launched at 0% — the mechanism is fully built, tested, and persisted, but the founder chose to hold off on real deflationary pressure until the network has matured. Raising it later requires only a governance vote, no code deployment.</w:t>
      </w:r>
    </w:p>
    <w:p>
      <w:pPr>
        <w:pStyle w:val="BodyText"/>
      </w:pPr>
      <w:r>
        <w:t xml:space="preserve">4.4 Integer Money and the Supply Invariant</w:t>
      </w:r>
    </w:p>
    <w:p>
      <w:pPr>
        <w:pStyle w:val="BodyText"/>
      </w:pPr>
      <w:r>
        <w:t xml:space="preserve">All monetary values are stored and computed as integers in satoshis (1 BIO = 100,000,000 sat). The supply invariant is checked as exact integer equality across five buckets: wallet balances, all pool balances, funds locked in open HTLC swaps, actively staked BIO, and BIO mid-way through the 7-day unstake cooldown (held but no longer staked, not yet returned to its wallet).</w:t>
      </w:r>
    </w:p>
    <w:p>
      <w:pPr>
        <w:pStyle w:val="BodyText"/>
      </w:pPr>
      <w:r>
        <w:t xml:space="preserve">Once FEE_BURN_PERCENT is above zero, the invariant's target itself is no longer a fixed 21,000,000 BIO — it is 21,000,000 BIO minus everything ever permanently destroyed, tracked as a persisted running total. This is deliberate accounting for real burning, not a tolerance or an exception to the invariant.</w:t>
      </w:r>
    </w:p>
    <w:p>
      <w:pPr>
        <w:pStyle w:val="BodyText"/>
      </w:pPr>
      <w:r>
        <w:t xml:space="preserve">4.5 Founder Vesting Schedule (extended in v5.40)</w:t>
      </w:r>
    </w:p>
    <w:p>
      <w:pPr>
        <w:pStyle w:val="BodyText"/>
      </w:pPr>
      <w:r>
        <w:t xml:space="preserve">The team pool (1,050,000 BIO) funds the founder's vesting schedule exclusively. A 6-month cliff precedes any payout, unchanged. The vesting period itself was extended from 18 months to 114 months at the founder's request, following external review — the same total allocation now pays out in far smaller monthly amounts (≈9,210.53 BIO/month, down from ≈58,333) across a much longer horizon. Cliff plus vesting period together span exactly 120 months — 10 years — from genesis to fully vested.</w:t>
      </w:r>
    </w:p>
    <w:p>
      <w:pPr>
        <w:pStyle w:val="BodyText"/>
      </w:pPr>
      <w:r>
        <w:t xml:space="preserve">Vesting is automatically paused during a network crisis (see section 6) — deferred, not forfeited, resuming once network stability recovers. The founder's own payout schedule is subordinate to network health: a crisis pauses vesting before it pauses anything paid to ordinary users elsewhere in the system.</w:t>
      </w:r>
    </w:p>
    <w:p>
      <w:pPr>
        <w:pStyle w:val="BodyText"/>
      </w:pPr>
      <w:r>
        <w:t xml:space="preserve">4.6 Developer and Server-Operator Grants Pools (split in v5.41)</w:t>
      </w:r>
    </w:p>
    <w:p>
      <w:pPr>
        <w:pStyle w:val="BodyText"/>
      </w:pPr>
      <w:r>
        <w:t xml:space="preserve">509,000 BIO, carved out of the genesis pool's remainder at first boot, originally funded a single pool of grants for real-world builders — wallets, block explorers, SDKs, integrations — extending the network beyond the core protocol.</w:t>
      </w:r>
    </w:p>
    <w:p>
      <w:pPr>
        <w:pStyle w:val="BodyText"/>
      </w:pPr>
      <w:r>
        <w:t xml:space="preserve">As of v5.41, that pool is split evenly, once, at first boot: 254,500 BIO continues funding developer grants exactly as before, and a new 254,500 BIO pool funds grants to independent server operators — anyone standing up and maintaining a genuinely separate, publicly reachable BioChain node. Both halves are released the same way: only via governance proposal and vote, each grant clamped to a hard ceiling (5,000 BIO for developer grants, 2,000 BIO for server-operator grants), never a flat automatic rate. Every grant of either kind is recorded in a dedicated, publicly auditable ledger (recipient address, project or server identifier, description, amount, and the governance proposal ID that authorized it).</w:t>
      </w:r>
    </w:p>
    <w:p>
      <w:pPr>
        <w:pStyle w:val="BodyText"/>
      </w:pPr>
      <w:r>
        <w:t xml:space="preserve">The server-operator pool was deliberately designed around a single principle: a node's validity must depend only on the chain itself, never on any one node's private bookkeeping about who it happens to trust. An earlier internal design paid this reward automatically once a server had been continuously confirmed as a trusted peer by other nodes for 365 days, tracked in a node-local table. That design was replaced before ever reaching production, because two independently-operated nodes can legitimately disagree about exactly when a given peer was first trusted — meaning the identical payout claim could be valid on one server and rejected by another, a genuine chain-split hazard, not a hypothetical one. Moving the payout to the same governance vote already used for developer grants removes that hazard entirely: the tally is built only from votes recorded on the chain itself, identical on every node by construction. Voters see the server's claimed history in the proposal description and judge its credibility themselves, the same way any other discretionary grant already works on this network.</w:t>
      </w:r>
    </w:p>
    <w:p>
      <w:pPr>
        <w:pStyle w:val="BodyText"/>
      </w:pPr>
      <w:r>
        <w:t xml:space="preserve">This overall 509,000 BIO figure directly resolves what an earlier version of this document called an open question — an unassigned 510,000 BIO remainder. That figure was itself a documentation arithmetic error, since corrected: the genesis pool's constants in code always summed to the full cap. The genuine, smaller remainder that did exist (509,000 BIO, after accounting correctly for genesis grants, the founder's starting balance, and the wallet-registration carve-out) now has an explicit, governed purpose, split evenly between the two halves described above.</w:t>
      </w:r>
    </w:p>
    <w:p>
      <w:pPr>
        <w:pStyle w:val="BodyText"/>
      </w:pPr>
      <w:r>
        <w:t xml:space="preserve">5. Governance</w:t>
      </w:r>
    </w:p>
    <w:p>
      <w:pPr>
        <w:pStyle w:val="BodyText"/>
      </w:pPr>
      <w:r>
        <w:t xml:space="preserve">Proposals require a minimum quorum and a 70% approval threshold, followed by a 7-day timelock before any change takes effect. Governable parameters include fee rates, longevity reward amounts, the crisis-stability threshold, minimum node-emergence time span, partial fee-burn percentage, and per-grant ceilings for listing rewards, developer grants, and server-operator grants — each bounded by hard minimum and maximum limits that cannot themselves be voted outside a safe range. A small set of constants — the quorum floor, the 70% threshold, the 7-day timelock, and the 21,000,000 BIO cap itself — are constitutional and excluded from the set of governable parameters entirely.</w:t>
      </w:r>
    </w:p>
    <w:p>
      <w:pPr>
        <w:pStyle w:val="BodyText"/>
      </w:pPr>
      <w:r>
        <w:t xml:space="preserve">6. Security Model</w:t>
      </w:r>
    </w:p>
    <w:p>
      <w:pPr>
        <w:pStyle w:val="BodyText"/>
      </w:pPr>
      <w:r>
        <w:t xml:space="preserve">Every block received from a peer is independently re-verified regardless of source — signatures, validator selection, and block reward recomputation are recalculated locally, never trusted from the sender. A network-wide stability metric, computed from recent transaction intensity, triggers an automatic crisis payout from the reserve pool (up to 50 BIO per live node) when stability drops below threshold — the network's only automatic economic stabilizer, with no manual trigger and no way for any proposal or founder action to prevent it firing when conditions are met.</w:t>
      </w:r>
    </w:p>
    <w:p>
      <w:pPr>
        <w:pStyle w:val="BodyText"/>
      </w:pPr>
      <w:r>
        <w:t xml:space="preserve">7. Longevity Rewards</w:t>
      </w:r>
    </w:p>
    <w:p>
      <w:pPr>
        <w:pStyle w:val="BodyText"/>
      </w:pPr>
      <w:r>
        <w:t xml:space="preserve">Nodes that remain alive receive automatic bonuses: 10 BIO at 6 months of continuous life, 100 BIO at 12 months, and a governable monthly amount thereafter. All longevity payouts draw from the ecosystem pool, which is in turn replenished when a node dies and stays dead for 365 days without rebirth, sweeping its remaining balance back into the same pool.</w:t>
      </w:r>
    </w:p>
    <w:p>
      <w:pPr>
        <w:pStyle w:val="BodyText"/>
      </w:pPr>
      <w:r>
        <w:t xml:space="preserve">8. Peer Protocol</w:t>
      </w:r>
    </w:p>
    <w:p>
      <w:pPr>
        <w:pStyle w:val="BodyText"/>
      </w:pPr>
      <w:r>
        <w:t xml:space="preserve">BioChain uses a trust-content, not trust-sender model. Every block received from a peer is independently re-verified regardless of source, with isolated-replay fork resolution and hash-verified fast sync from state snapshots for new nodes.</w:t>
      </w:r>
    </w:p>
    <w:p>
      <w:pPr>
        <w:pStyle w:val="BodyText"/>
      </w:pPr>
      <w:r>
        <w:t xml:space="preserve">As of v5.40, this is no longer only a specification: two independently-operated production nodes, in different countries and different underlying data centers, converged on an identical chain tip through the peer-sync loop described here. The same release tested the harder case: the two nodes were deliberately network-partitioned, each grew a different, independently-valid branch, and the connection was then restored. The peer-sync loop correctly identified the fork, located the exact divergence point, and adopted the longer valid chain, discarding the shorter branch entirely, with no operator intervention.</w:t>
      </w:r>
    </w:p>
    <w:p>
      <w:pPr>
        <w:pStyle w:val="BodyText"/>
      </w:pPr>
      <w:r>
        <w:t xml:space="preserve">Later the same release, this protocol was exercised again under real, unplanned conditions: a configuration change briefly left both production nodes' PEER_URLS empty after a routine file replacement, causing several hours of genuine, unintended chain divergence between the two live servers — not a deliberate test this time. Restoring correct peer configuration and forcing a full clean resynchronisation on both nodes recovered an identical, valid chain tip on both machines, with the supply invariant holding exactly. The incident directly motivated the self-announcement and node-discovery hardening described in section 3.2a, and is recorded here rather than omitted, consistent with this document's practice of describing what actually broke.</w:t>
      </w:r>
    </w:p>
    <w:p>
      <w:pPr>
        <w:pStyle w:val="BodyText"/>
      </w:pPr>
      <w:r>
        <w:t xml:space="preserve">That same incident's root cause — a purely textual configuration value (a peer's URL) silently drifting or being misconfigured — was addressed structurally in v5.41 and v5.43. First, PEER_URLS and the node's own public URL moved out of the deployable file entirely into environment configuration (v5.41), so a routine code deployment can no longer reset them. Second (v5.43), every node now generates a random identity value fresh on each process start and exchanges it with every peer it talks to: any node that ever gets its own identity value back from a URL it queried knows, cryptographically rather than by string comparison, that it is talking to itself — through any proxy, alias, or misconfiguration whatsoever. The same exchange carries the genesis block's hash, so a node pointed at the wrong network by mistake is refused clearly and immediately, rather than silently rejecting every block one at a time with no clear diagnosis. Both checks fail open on ambiguity (a genuinely unreachable peer is never mistaken for a confirmed self-match), so neither turns ordinary network flakiness into an availability requirement.</w:t>
      </w:r>
    </w:p>
    <w:p>
      <w:pPr>
        <w:pStyle w:val="BodyText"/>
      </w:pPr>
      <w:r>
        <w:t xml:space="preserve">A full network genesis reset on July 28, 2026 (section 3.1, section 3.13) gave this protocol its most direct real-world test yet, deliberate this time rather than incidental: both production nodes were stopped, updated, reset to a fresh genesis together, and restarted, and peer-to-peer synchronization between the two independently-operated nodes was re-confirmed immediately afterward on live infrastructure – a real transaction submitted on server1 was independently observed, correctly credited, on server2 through ordinary peer sync alone, no manual intervention on server2’s side.</w:t>
      </w:r>
    </w:p>
    <w:p>
      <w:pPr>
        <w:pStyle w:val="BodyText"/>
      </w:pPr>
      <w:r>
        <w:t xml:space="preserve">8a. Wallet Access, Key Custody, and Recovery</w:t>
      </w:r>
    </w:p>
    <w:p>
      <w:pPr>
        <w:pStyle w:val="BodyText"/>
      </w:pPr>
      <w:r>
        <w:t xml:space="preserve">The wallet is not a separate download — it's served directly at the root of either production node: `https://biochainnetwork.com` or `https://node2.biochainnetwork.com` (both serve an identical build; the relative API path resolves correctly regardless of which domain served the page).</w:t>
      </w:r>
    </w:p>
    <w:p>
      <w:pPr>
        <w:pStyle w:val="BodyText"/>
      </w:pPr>
      <w:r>
        <w:rPr>
          <w:bCs/>
          <w:b/>
        </w:rPr>
        <w:t xml:space="preserve">Key generation.</w:t>
      </w:r>
      <w:r>
        <w:t xml:space="preserve"> liboqs-js's ML-DSA-44 keygen takes no seed — unlike ECDSA-based wallets (Bitcoin, Ethereum), there is no deterministic function that regenerates a key from a fixed phrase. This is a structural property of the signature scheme itself, not a design choice this wallet made. It changes what a "backup" actually is.</w:t>
      </w:r>
    </w:p>
    <w:p>
      <w:pPr>
        <w:pStyle w:val="BodyText"/>
      </w:pPr>
      <w:r>
        <w:rPr>
          <w:bCs/>
          <w:b/>
        </w:rPr>
        <w:t xml:space="preserve">What backup means here, precisely.</w:t>
      </w:r>
      <w:r>
        <w:t xml:space="preserve"> Wallet creation produces two genuinely different things, both required together:</w:t>
      </w:r>
    </w:p>
    <w:p>
      <w:pPr>
        <w:pStyle w:val="BodyText"/>
      </w:pPr>
      <w:r>
        <w:t xml:space="preserve">1. </w:t>
      </w:r>
      <w:r>
        <w:rPr>
          <w:bCs/>
          <w:b/>
        </w:rPr>
        <w:t xml:space="preserve">The keystore file</w:t>
      </w:r>
      <w:r>
        <w:t xml:space="preserve"> — a downloaded JSON file containing the real secret key, encrypted with the 24-word phrase as a PBKDF2 password (200,000 iterations, SHA-256).</w:t>
      </w:r>
    </w:p>
    <w:p>
      <w:pPr>
        <w:pStyle w:val="BodyText"/>
      </w:pPr>
      <w:r>
        <w:t xml:space="preserve">2. </w:t>
      </w:r>
      <w:r>
        <w:rPr>
          <w:bCs/>
          <w:b/>
        </w:rPr>
        <w:t xml:space="preserve">The 24-word phrase</w:t>
      </w:r>
      <w:r>
        <w:t xml:space="preserve"> — not a seed in the BIP-39 sense (it cannot regenerate the key mathematically). It exists solely as the password that decrypts the keystore file.</w:t>
      </w:r>
    </w:p>
    <w:p>
      <w:pPr>
        <w:pStyle w:val="BodyText"/>
      </w:pPr>
      <w:r>
        <w:rPr>
          <w:bCs/>
          <w:b/>
        </w:rPr>
        <w:t xml:space="preserve">Recovery requires both, together, always.</w:t>
      </w:r>
      <w:r>
        <w:t xml:space="preserve"> The keystore file alone is useless without the phrase (it's encrypted). The phrase alone is useless without the keystore file (there's nothing for it to decrypt — the key it would "derive" doesn't exist, because keygen isn't seedable). Losing either one, independently, is unrecoverable — this is not a wallet-app limitation to be fixed later; it follows directly from ML-DSA-44 not having a deterministic keygen.</w:t>
      </w:r>
    </w:p>
    <w:p>
      <w:pPr>
        <w:pStyle w:val="BodyText"/>
      </w:pPr>
      <w:r>
        <w:rPr>
          <w:bCs/>
          <w:b/>
        </w:rPr>
        <w:t xml:space="preserve">Doing this correctly, practically:</w:t>
      </w:r>
    </w:p>
    <w:p>
      <w:pPr>
        <w:pStyle w:val="BodyText"/>
      </w:pPr>
      <w:r>
        <w:t xml:space="preserve">- Store the keystore file and the 24-word phrase </w:t>
      </w:r>
      <w:r>
        <w:rPr>
          <w:bCs/>
          <w:b/>
        </w:rPr>
        <w:t xml:space="preserve">separately</w:t>
      </w:r>
      <w:r>
        <w:t xml:space="preserve"> — the same principle as never storing a house key next to a note with the address written on it. A device backup, cloud sync, or screenshot that captures both together defeats the entire point.</w:t>
      </w:r>
    </w:p>
    <w:p>
      <w:pPr>
        <w:pStyle w:val="BodyText"/>
      </w:pPr>
      <w:r>
        <w:t xml:space="preserve">- The keystore file can be treated as a normal file backup (cloud storage, a second device) precisely because it's useless without the phrase.</w:t>
      </w:r>
    </w:p>
    <w:p>
      <w:pPr>
        <w:pStyle w:val="BodyText"/>
      </w:pPr>
      <w:r>
        <w:t xml:space="preserve">- The 24-word phrase deserves the same handling a Bitcoin/Ethereum seed phrase would — offline, physical, never typed into anything other than this wallet's own recovery screen.</w:t>
      </w:r>
    </w:p>
    <w:p>
      <w:pPr>
        <w:pStyle w:val="BodyText"/>
      </w:pPr>
      <w:r>
        <w:t xml:space="preserve">- Losing both, or losing the phrase specifically, means the funds at that address are permanently unreachable — the same as losing a seed phrase on any other chain, with no support channel, admin key, or recovery mechanism able to reverse it. This is a direct consequence of section 2.4 (no single point of control): the same property that keeps a founder from ever accessing anyone's funds means no one else can recover them either.</w:t>
      </w:r>
    </w:p>
    <w:p>
      <w:pPr>
        <w:pStyle w:val="BodyText"/>
      </w:pPr>
      <w:r>
        <w:rPr>
          <w:bCs/>
          <w:b/>
        </w:rPr>
        <w:t xml:space="preserve">Concrete storage options, ranked by what they actually protect against:</w:t>
      </w:r>
    </w:p>
    <w:p>
      <w:pPr>
        <w:pStyle w:val="BodyText"/>
      </w:pPr>
      <w:r>
        <w:t xml:space="preserve">- </w:t>
      </w:r>
      <w:r>
        <w:rPr>
          <w:bCs/>
          <w:b/>
        </w:rPr>
        <w:t xml:space="preserve">Paper, written by hand, stored somewhere fire- and water-resistant</w:t>
      </w:r>
      <w:r>
        <w:t xml:space="preserve"> (a safe, a safe-deposit box) — the standard baseline for the 24-word phrase specifically. Cheap, works with zero electronics, but a single point of physical failure and copiable by anyone who reads it.</w:t>
      </w:r>
    </w:p>
    <w:p>
      <w:pPr>
        <w:pStyle w:val="BodyText"/>
      </w:pPr>
      <w:r>
        <w:t xml:space="preserve">- </w:t>
      </w:r>
      <w:r>
        <w:rPr>
          <w:bCs/>
          <w:b/>
        </w:rPr>
        <w:t xml:space="preserve">A USB flash drive, dedicated to this alone</w:t>
      </w:r>
      <w:r>
        <w:t xml:space="preserve"> — reasonable for the keystore file (which is already encrypted and useless without the phrase), poor for the phrase itself in plain text: a drive can fail silently, and unlike paper, a failed drive often gives no warning before it happens. If used for the phrase, encrypt the drive itself as a second layer, not instead of a physical phrase backup.</w:t>
      </w:r>
    </w:p>
    <w:p>
      <w:pPr>
        <w:pStyle w:val="BodyText"/>
      </w:pPr>
      <w:r>
        <w:t xml:space="preserve">- </w:t>
      </w:r>
      <w:r>
        <w:rPr>
          <w:bCs/>
          <w:b/>
        </w:rPr>
        <w:t xml:space="preserve">A dedicated hardware wallet or offline air-gapped device</w:t>
      </w:r>
      <w:r>
        <w:t xml:space="preserve">, if one supports arbitrary file/text storage — stronger than a general-purpose USB drive against malware, but still a single device; the same "what happens if this specific piece of hardware is lost or dies" question applies.</w:t>
      </w:r>
    </w:p>
    <w:p>
      <w:pPr>
        <w:pStyle w:val="BodyText"/>
      </w:pPr>
      <w:r>
        <w:t xml:space="preserve">- </w:t>
      </w:r>
      <w:r>
        <w:rPr>
          <w:bCs/>
          <w:b/>
        </w:rPr>
        <w:t xml:space="preserve">Metal backup plates (stamped or engraved words)</w:t>
      </w:r>
      <w:r>
        <w:t xml:space="preserve"> — the most fire- and water-resistant option for the phrase specifically, standard practice in the wider crypto industry for exactly this reason, at the cost of being the most expensive and least convenient to set up.</w:t>
      </w:r>
    </w:p>
    <w:p>
      <w:pPr>
        <w:pStyle w:val="BodyText"/>
      </w:pPr>
      <w:r>
        <w:t xml:space="preserve">- </w:t>
      </w:r>
      <w:r>
        <w:rPr>
          <w:bCs/>
          <w:b/>
        </w:rPr>
        <w:t xml:space="preserve">Splitting across two or more physical locations</w:t>
      </w:r>
      <w:r>
        <w:t xml:space="preserve"> — whichever medium is chosen, a single copy in a single location is a single point of failure for a value that, unlike a typical file, has no second chance if it's destroyed. This applies to both the keystore file and the phrase independently, not as a substitute for keeping them apart from each other.</w:t>
      </w:r>
    </w:p>
    <w:p>
      <w:pPr>
        <w:pStyle w:val="BodyText"/>
      </w:pPr>
      <w:r>
        <w:t xml:space="preserve">No single option above is uniquely correct — the right choice trades off cost, convenience, and what specific failure (theft, fire, hardware death, forgetting where it is) matters most for a given amount at stake. What every option shares is the same non-negotiable rule above: the keystore file and the 24-word phrase must never end up reachable from the same single point of failure.</w:t>
      </w:r>
    </w:p>
    <w:p>
      <w:pPr>
        <w:pStyle w:val="BodyText"/>
      </w:pPr>
      <w:r>
        <w:t xml:space="preserve">9. Implementation Stack</w:t>
      </w:r>
    </w:p>
    <w:tbl>
      <w:tblPr>
        <w:tblStyle w:val="Table"/>
        <w:tblW w:type="pct" w:w="4865"/>
        <w:tblLook w:firstRow="0" w:lastRow="0" w:firstColumn="0" w:lastColumn="0" w:noHBand="0" w:noVBand="0" w:val="0000"/>
        <w:jc w:val="start"/>
      </w:tblPr>
      <w:tblGrid>
        <w:gridCol w:w="3852"/>
        <w:gridCol w:w="3852"/>
      </w:tblGrid>
      <w:tr>
        <w:tc>
          <w:tcPr/>
          <w:p>
            <w:pPr>
              <w:pStyle w:val="Compact"/>
              <w:jc w:val="left"/>
            </w:pPr>
            <w:r>
              <w:rPr>
                <w:bCs/>
                <w:b/>
              </w:rPr>
              <w:t xml:space="preserve">Component</w:t>
            </w:r>
          </w:p>
        </w:tc>
        <w:tc>
          <w:tcPr/>
          <w:p>
            <w:pPr>
              <w:pStyle w:val="Compact"/>
              <w:jc w:val="left"/>
            </w:pPr>
            <w:r>
              <w:rPr>
                <w:bCs/>
                <w:b/>
              </w:rPr>
              <w:t xml:space="preserve">Detail</w:t>
            </w:r>
          </w:p>
        </w:tc>
      </w:tr>
      <w:tr>
        <w:tc>
          <w:tcPr/>
          <w:p>
            <w:pPr>
              <w:pStyle w:val="Compact"/>
              <w:jc w:val="left"/>
            </w:pPr>
            <w:r>
              <w:t xml:space="preserve">Signature scheme</w:t>
            </w:r>
          </w:p>
        </w:tc>
        <w:tc>
          <w:tcPr/>
          <w:p>
            <w:pPr>
              <w:pStyle w:val="Compact"/>
              <w:jc w:val="left"/>
            </w:pPr>
            <w:r>
              <w:t xml:space="preserve">ML-DSA-44 (CRYSTALS-Dilithium3, NIST PQC standard)</w:t>
            </w:r>
          </w:p>
        </w:tc>
      </w:tr>
      <w:tr>
        <w:tc>
          <w:tcPr/>
          <w:p>
            <w:pPr>
              <w:pStyle w:val="Compact"/>
              <w:jc w:val="left"/>
            </w:pPr>
            <w:r>
              <w:t xml:space="preserve">Crypto backend (server)</w:t>
            </w:r>
          </w:p>
        </w:tc>
        <w:tc>
          <w:tcPr/>
          <w:p>
            <w:pPr>
              <w:pStyle w:val="Compact"/>
              <w:jc w:val="left"/>
            </w:pPr>
            <w:r>
              <w:t xml:space="preserve">liboqs (C) via liboqs-python; dilithium_py as automatic, loudly-logged fallback</w:t>
            </w:r>
          </w:p>
        </w:tc>
      </w:tr>
      <w:tr>
        <w:tc>
          <w:tcPr/>
          <w:p>
            <w:pPr>
              <w:pStyle w:val="Compact"/>
              <w:jc w:val="left"/>
            </w:pPr>
            <w:r>
              <w:t xml:space="preserve">Backend language</w:t>
            </w:r>
          </w:p>
        </w:tc>
        <w:tc>
          <w:tcPr/>
          <w:p>
            <w:pPr>
              <w:pStyle w:val="Compact"/>
              <w:jc w:val="left"/>
            </w:pPr>
            <w:r>
              <w:t xml:space="preserve">Python 3.14</w:t>
            </w:r>
          </w:p>
        </w:tc>
      </w:tr>
      <w:tr>
        <w:tc>
          <w:tcPr/>
          <w:p>
            <w:pPr>
              <w:pStyle w:val="Compact"/>
              <w:jc w:val="left"/>
            </w:pPr>
            <w:r>
              <w:t xml:space="preserve">HTTP framework</w:t>
            </w:r>
          </w:p>
        </w:tc>
        <w:tc>
          <w:tcPr/>
          <w:p>
            <w:pPr>
              <w:pStyle w:val="Compact"/>
              <w:jc w:val="left"/>
            </w:pPr>
            <w:r>
              <w:t xml:space="preserve">FastAPI + Uvicorn</w:t>
            </w:r>
          </w:p>
        </w:tc>
      </w:tr>
      <w:tr>
        <w:tc>
          <w:tcPr/>
          <w:p>
            <w:pPr>
              <w:pStyle w:val="Compact"/>
              <w:jc w:val="left"/>
            </w:pPr>
            <w:r>
              <w:t xml:space="preserve">Database</w:t>
            </w:r>
          </w:p>
        </w:tc>
        <w:tc>
          <w:tcPr/>
          <w:p>
            <w:pPr>
              <w:pStyle w:val="Compact"/>
              <w:jc w:val="left"/>
            </w:pPr>
            <w:r>
              <w:t xml:space="preserve">SQLite (WAL mode, NORMAL sync, RLock + atomic transactions)</w:t>
            </w:r>
          </w:p>
        </w:tc>
      </w:tr>
      <w:tr>
        <w:tc>
          <w:tcPr/>
          <w:p>
            <w:pPr>
              <w:pStyle w:val="Compact"/>
              <w:jc w:val="left"/>
            </w:pPr>
            <w:r>
              <w:t xml:space="preserve">Frontend</w:t>
            </w:r>
          </w:p>
        </w:tc>
        <w:tc>
          <w:tcPr/>
          <w:p>
            <w:pPr>
              <w:pStyle w:val="Compact"/>
              <w:jc w:val="left"/>
            </w:pPr>
            <w:r>
              <w:t xml:space="preserve">React + Vite PWA (wallet v2.2.9, single unified build via relative API path)</w:t>
            </w:r>
          </w:p>
        </w:tc>
      </w:tr>
      <w:tr>
        <w:tc>
          <w:tcPr/>
          <w:p>
            <w:pPr>
              <w:pStyle w:val="Compact"/>
              <w:jc w:val="left"/>
            </w:pPr>
            <w:r>
              <w:t xml:space="preserve">WebAssembly PQ (client)</w:t>
            </w:r>
          </w:p>
        </w:tc>
        <w:tc>
          <w:tcPr/>
          <w:p>
            <w:pPr>
              <w:pStyle w:val="Compact"/>
              <w:jc w:val="left"/>
            </w:pPr>
            <w:r>
              <w:t xml:space="preserve">liboqs-js for in-browser signing</w:t>
            </w:r>
          </w:p>
        </w:tc>
      </w:tr>
      <w:tr>
        <w:tc>
          <w:tcPr/>
          <w:p>
            <w:pPr>
              <w:pStyle w:val="Compact"/>
              <w:jc w:val="left"/>
            </w:pPr>
            <w:r>
              <w:t xml:space="preserve">Reverse proxy / TLS</w:t>
            </w:r>
          </w:p>
        </w:tc>
        <w:tc>
          <w:tcPr/>
          <w:p>
            <w:pPr>
              <w:pStyle w:val="Compact"/>
              <w:jc w:val="left"/>
            </w:pPr>
            <w:r>
              <w:t xml:space="preserve">nginx + Let's Encrypt (certbot), auto-renewing</w:t>
            </w:r>
          </w:p>
        </w:tc>
      </w:tr>
      <w:tr>
        <w:tc>
          <w:tcPr/>
          <w:p>
            <w:pPr>
              <w:pStyle w:val="Compact"/>
              <w:jc w:val="left"/>
            </w:pPr>
            <w:r>
              <w:t xml:space="preserve">Production host (node 1)</w:t>
            </w:r>
          </w:p>
        </w:tc>
        <w:tc>
          <w:tcPr/>
          <w:p>
            <w:pPr>
              <w:pStyle w:val="Compact"/>
              <w:jc w:val="left"/>
            </w:pPr>
            <w:r>
              <w:t xml:space="preserve">Hetzner Cloud CPX21/CPX22, Nuremberg</w:t>
            </w:r>
          </w:p>
        </w:tc>
      </w:tr>
      <w:tr>
        <w:tc>
          <w:tcPr/>
          <w:p>
            <w:pPr>
              <w:pStyle w:val="Compact"/>
              <w:jc w:val="left"/>
            </w:pPr>
            <w:r>
              <w:t xml:space="preserve">Production host (node 2)</w:t>
            </w:r>
          </w:p>
        </w:tc>
        <w:tc>
          <w:tcPr/>
          <w:p>
            <w:pPr>
              <w:pStyle w:val="Compact"/>
              <w:jc w:val="left"/>
            </w:pPr>
            <w:r>
              <w:t xml:space="preserve">Hetzner Cloud CX23, Helsinki — independently hardened</w:t>
            </w:r>
          </w:p>
        </w:tc>
      </w:tr>
      <w:tr>
        <w:tc>
          <w:tcPr/>
          <w:p>
            <w:pPr>
              <w:pStyle w:val="Compact"/>
              <w:jc w:val="left"/>
            </w:pPr>
            <w:r>
              <w:t xml:space="preserve">Access control</w:t>
            </w:r>
          </w:p>
        </w:tc>
        <w:tc>
          <w:tcPr/>
          <w:p>
            <w:pPr>
              <w:pStyle w:val="Compact"/>
              <w:jc w:val="left"/>
            </w:pPr>
            <w:r>
              <w:t xml:space="preserve">SSH key-only auth, no root login, ufw firewall (only 22/80/443 open)</w:t>
            </w:r>
          </w:p>
        </w:tc>
      </w:tr>
      <w:tr>
        <w:tc>
          <w:tcPr/>
          <w:p>
            <w:pPr>
              <w:pStyle w:val="Compact"/>
              <w:jc w:val="left"/>
            </w:pPr>
            <w:r>
              <w:t xml:space="preserve">Process supervision</w:t>
            </w:r>
          </w:p>
        </w:tc>
        <w:tc>
          <w:tcPr/>
          <w:p>
            <w:pPr>
              <w:pStyle w:val="Compact"/>
              <w:jc w:val="left"/>
            </w:pPr>
            <w:r>
              <w:t xml:space="preserve">systemd (auto-restart on failure, enabled at boot)</w:t>
            </w:r>
          </w:p>
        </w:tc>
      </w:tr>
      <w:tr>
        <w:tc>
          <w:tcPr/>
          <w:p>
            <w:pPr>
              <w:pStyle w:val="Compact"/>
              <w:jc w:val="left"/>
            </w:pPr>
            <w:r>
              <w:t xml:space="preserve">Backups</w:t>
            </w:r>
          </w:p>
        </w:tc>
        <w:tc>
          <w:tcPr/>
          <w:p>
            <w:pPr>
              <w:pStyle w:val="Compact"/>
              <w:jc w:val="left"/>
            </w:pPr>
            <w:r>
              <w:t xml:space="preserve">Automated sqlite3 .backup snapshots (WAL-consistent) every 6 hours, rotated</w:t>
            </w:r>
          </w:p>
        </w:tc>
      </w:tr>
      <w:tr>
        <w:tc>
          <w:tcPr/>
          <w:p>
            <w:pPr>
              <w:pStyle w:val="Compact"/>
              <w:jc w:val="left"/>
            </w:pPr>
            <w:r>
              <w:t xml:space="preserve">Regression suite</w:t>
            </w:r>
          </w:p>
        </w:tc>
        <w:tc>
          <w:tcPr/>
          <w:p>
            <w:pPr>
              <w:pStyle w:val="Compact"/>
              <w:jc w:val="left"/>
            </w:pPr>
            <w:r>
              <w:t xml:space="preserve">253 tests, genuine ML-DSA-44 cryptography, on-device and in production</w:t>
            </w:r>
          </w:p>
        </w:tc>
      </w:tr>
      <w:tr>
        <w:tc>
          <w:tcPr/>
          <w:p>
            <w:pPr>
              <w:pStyle w:val="Compact"/>
              <w:jc w:val="left"/>
            </w:pPr>
            <w:r>
              <w:t xml:space="preserve">Backend license</w:t>
            </w:r>
          </w:p>
        </w:tc>
        <w:tc>
          <w:tcPr/>
          <w:p>
            <w:pPr>
              <w:pStyle w:val="Compact"/>
              <w:jc w:val="left"/>
            </w:pPr>
            <w:r>
              <w:t xml:space="preserve">AGPL-3.0-or-later</w:t>
            </w:r>
          </w:p>
        </w:tc>
      </w:tr>
      <w:tr>
        <w:tc>
          <w:tcPr/>
          <w:p>
            <w:pPr>
              <w:pStyle w:val="Compact"/>
              <w:jc w:val="left"/>
            </w:pPr>
            <w:r>
              <w:t xml:space="preserve">Wallet license</w:t>
            </w:r>
          </w:p>
        </w:tc>
        <w:tc>
          <w:tcPr/>
          <w:p>
            <w:pPr>
              <w:pStyle w:val="Compact"/>
              <w:jc w:val="left"/>
            </w:pPr>
            <w:r>
              <w:t xml:space="preserve">Apache-2.0</w:t>
            </w:r>
          </w:p>
        </w:tc>
      </w:tr>
    </w:tbl>
    <w:p>
      <w:pPr>
        <w:pStyle w:val="BodyText"/>
      </w:pPr>
      <w:r>
        <w:t xml:space="preserve">10. Roadmap</w:t>
      </w:r>
    </w:p>
    <w:p>
      <w:pPr>
        <w:pStyle w:val="BodyText"/>
      </w:pPr>
      <w:r>
        <w:t xml:space="preserve">Completed (through v5.43)</w:t>
      </w:r>
    </w:p>
    <w:p>
      <w:pPr>
        <w:pStyle w:val="BodyText"/>
      </w:pPr>
      <w:r>
        <w:t xml:space="preserve">ML-DSA-44 signatures on all fund/governance paths; organic node lifecycle with Sybil-resistant timing; self-announcement and node discovery; per-address nonce replay protection; atomic block application; genesis-anchored emission/vesting (10-year founder schedule); isolated-replay fork resolution; governance with proposals/voting/timelock/slash/listing reward/developer and server-operator grants; longevity rewards and dead-node sweep; unified fee formula with optional partial burning; smooth validator-reward taper; tiered stake with deterministic validator selection; integer (satoshi-scale) money with exact, burn-aware supply invariant; PWA wallet with real ML-DSA-44 WASM signing; 253-test regression suite passing on-device and in production with genuine cryptography. v5.37 HTLC atomic swaps. v5.38 state checkpoints. v5.39 first production deployment. v5.40 operational hardening, second independent production node, peer protocol confirmed live including real (unplanned) fork recovery, supply-invariant completeness, Sybil resistance, self-announcement, extended vesting, partial fee burning, smooth reward taper, and the developer-grants pool. v5.41 environment-based deployment configuration (eliminating a class of file-replacement misconfiguration incidents), the developer-grants pool split to add server-operator grants, and a cryptographic agility foundation (section 3.11) allowing a future signature scheme without a new genesis. v5.43 cryptographic, hash-based peer self-recognition, closing a subtler version of the same misconfiguration class at the protocol level; and, July 28, 2026, a security-hardening pass (section 3.13) covering transaction atomicity around governance and reward payouts, peer-block finalization re-verification, signed self-announcement, DNS-rebinding protection for peer promotion, and an address-length extension from 16 to 32 hex characters alongside a full network genesis reset.</w:t>
      </w:r>
    </w:p>
    <w:p>
      <w:pPr>
        <w:pStyle w:val="BodyText"/>
      </w:pPr>
      <w:r>
        <w:t xml:space="preserve">Near-term</w:t>
      </w:r>
    </w:p>
    <w:p>
      <w:pPr>
        <w:pStyle w:val="BodyText"/>
      </w:pPr>
      <w:r>
        <w:t xml:space="preserve">Growing the trusted-peer set beyond two nodes to properly exercise majority-based governance quorum and discovery promotion at realistic scale. Multi-process horizontal scaling now that the crypto bottleneck is resolved and SQLite write throughput is the next limiting factor to characterise under real multi-node load. Deeper BIP-199 PSBT integration for the Bitcoin-side HTLC leg.</w:t>
      </w:r>
    </w:p>
    <w:p>
      <w:pPr>
        <w:pStyle w:val="BodyText"/>
      </w:pPr>
      <w:r>
        <w:t xml:space="preserve">Medium-term</w:t>
      </w:r>
    </w:p>
    <w:p>
      <w:pPr>
        <w:pStyle w:val="BodyText"/>
      </w:pPr>
      <w:r>
        <w:t xml:space="preserve">Bridge research remains deferred: ML-DSA-44 signature size makes on-chain EVM verification expensive, and HTLC swaps already deliver custody-free interoperability without a bridge's trust assumptions. Validator grinding mitigation via leader election redesign.</w:t>
      </w:r>
    </w:p>
    <w:p>
      <w:pPr>
        <w:pStyle w:val="BodyText"/>
      </w:pPr>
      <w:r>
        <w:t xml:space="preserve">11. Open Questions</w:t>
      </w:r>
    </w:p>
    <w:p>
      <w:pPr>
        <w:pStyle w:val="BodyText"/>
      </w:pPr>
      <w:r>
        <w:t xml:space="preserve">Depth of Bitcoin-side PSBT tooling for the external leg of an HTLC swap is still being scoped. Fork resolution and node discovery have now been exercised under both deliberate and real, unplanned network conditions; behavior under sustained multi-node write load with more than two participants remains to be observed. Long-term: how should the network govern the transition to a fully fee-funded validator pool once genesis pools exhaust, and at what point (if any) should partial fee burning move above 0%? Now that per-transaction crypto cost is no longer dominant, measurement on the production server settles which of SQLite's write path, network I/O, or rate-limiting logic is the next real ceiling: isolated ML-DSA-44 verification runs at ~44,365/sec and isolated SQLite writes at ~43,048/sec, both far above production need; a bare HTTP round-trip against a lightweight endpoint (no crypto, no write) tops out around ~1,783 req/sec; and the full signed-transfer path reaches ~967 tx/sec with the per-address rate limiter disabled, falling to ~99 tx/sec under the default 60-per-minute-per-address limit once a modest number of addresses transact continuously. The ceiling is therefore the FastAPI/uvicorn request-handling stack under concurrency, not the cryptography or the database, with the rate limiter becoming the binding constraint first under sustained single-address load.</w:t>
      </w:r>
    </w:p>
    <w:p>
      <w:pPr>
        <w:pStyle w:val="BodyText"/>
      </w:pPr>
      <w:r>
        <w:t xml:space="preserve">12. Conclusion</w:t>
      </w:r>
    </w:p>
    <w:p>
      <w:pPr>
        <w:pStyle w:val="BodyText"/>
      </w:pPr>
      <w:r>
        <w:t xml:space="preserve">BioChain combines post-quantum signatures with organic, activity-driven node emergence on a fully integer monetary core, running in production on real infrastructure, behind a real domain and TLS certificate. It is not a fork, not an EVM rollup, and not a speculative instrument. It is an independent L1 designed for decade-scale stability, where nodes live and die by the activity of real participants, governance belongs to those who show up, and the economic constants are calibrated against the quantum threat that will eventually obsolete every ECDSA-based network.</w:t>
      </w:r>
    </w:p>
    <w:p>
      <w:pPr>
        <w:pStyle w:val="BodyText"/>
      </w:pPr>
      <w:r>
        <w:t xml:space="preserve">The mission is a decentralised economic platform of the future, not a platform for speculation. The proof is in the chain — and now, in the server.</w:t>
      </w:r>
    </w:p>
    <w:p>
      <w:pPr>
        <w:pStyle w:val="BodyText"/>
      </w:pPr>
      <w:r>
        <w:rPr>
          <w:bCs/>
          <w:b/>
        </w:rPr>
        <w:t xml:space="preserve">BioChain AAECN v5.43 · July 2026 · biochainnetwork.com</w:t>
      </w:r>
    </w:p>
    <w:p>
      <w:pPr>
        <w:pStyle w:val="BodyText"/>
      </w:pPr>
      <w:r>
        <w:t xml:space="preserve">Contact: biochainnetwork@gmail.com</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2026-07-28T11:25:52Z</dcterms:created>
  <dcterms:modified xsi:type="dcterms:W3CDTF">2026-07-28T11:25:52Z</dcterms:modified>
</cp:coreProperties>
</file>

<file path=docProps/custom.xml><?xml version="1.0" encoding="utf-8"?>
<Properties xmlns="http://schemas.openxmlformats.org/officeDocument/2006/custom-properties" xmlns:vt="http://schemas.openxmlformats.org/officeDocument/2006/docPropsVTypes"/>
</file>