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rFonts w:ascii="Calibri" w:hAnsi="Calibri"/>
          <w:b/>
          <w:color w:val="003366"/>
          <w:sz w:val="36"/>
        </w:rPr>
        <w:t>[NOMBRE DEL CONSULTORIO]</w:t>
      </w:r>
    </w:p>
    <w:p>
      <w:pPr>
        <w:jc w:val="center"/>
      </w:pPr>
      <w:r>
        <w:rPr>
          <w:rFonts w:ascii="Calibri" w:hAnsi="Calibri"/>
          <w:b w:val="0"/>
          <w:color w:val="003366"/>
          <w:sz w:val="26"/>
        </w:rPr>
        <w:t>Consultorio Médico General y Procedimientos Estéticos No Invasivos</w:t>
      </w:r>
    </w:p>
    <w:p/>
    <w:p>
      <w:pPr>
        <w:jc w:val="center"/>
      </w:pPr>
      <w:r>
        <w:rPr>
          <w:rFonts w:ascii="Calibri" w:hAnsi="Calibri"/>
          <w:b/>
          <w:color w:val="003366"/>
          <w:sz w:val="32"/>
        </w:rPr>
        <w:t>PROCESO DE ATENCIÓN DE PETICIONES, QUEJAS, RECLAMOS Y SUGERENCIAS (PQRS)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  <w:shd w:val="clear" w:color="auto" w:fill="BDD7EE"/>
          </w:tcPr>
          <w:p>
            <w:r>
              <w:rPr>
                <w:rFonts w:ascii="Calibri" w:hAnsi="Calibri"/>
                <w:sz w:val="22"/>
              </w:rPr>
              <w:t>Código:</w:t>
            </w:r>
          </w:p>
        </w:tc>
        <w:tc>
          <w:tcPr>
            <w:tcW w:type="dxa" w:w="4561"/>
          </w:tcPr>
          <w:p>
            <w:r>
              <w:rPr>
                <w:rFonts w:ascii="Calibri" w:hAnsi="Calibri"/>
                <w:sz w:val="22"/>
              </w:rPr>
              <w:t>PRO-GC-003</w:t>
            </w:r>
          </w:p>
        </w:tc>
      </w:tr>
      <w:tr>
        <w:tc>
          <w:tcPr>
            <w:tcW w:type="dxa" w:w="4561"/>
            <w:shd w:val="clear" w:color="auto" w:fill="BDD7EE"/>
          </w:tcPr>
          <w:p>
            <w:r>
              <w:rPr>
                <w:rFonts w:ascii="Calibri" w:hAnsi="Calibri"/>
                <w:sz w:val="22"/>
              </w:rPr>
              <w:t>Versión:</w:t>
            </w:r>
          </w:p>
        </w:tc>
        <w:tc>
          <w:tcPr>
            <w:tcW w:type="dxa" w:w="4561"/>
          </w:tcPr>
          <w:p>
            <w:r>
              <w:rPr>
                <w:rFonts w:ascii="Calibri" w:hAnsi="Calibri"/>
                <w:sz w:val="22"/>
              </w:rPr>
              <w:t>1.0</w:t>
            </w:r>
          </w:p>
        </w:tc>
      </w:tr>
      <w:tr>
        <w:tc>
          <w:tcPr>
            <w:tcW w:type="dxa" w:w="4561"/>
            <w:shd w:val="clear" w:color="auto" w:fill="BDD7EE"/>
          </w:tcPr>
          <w:p>
            <w:r>
              <w:rPr>
                <w:rFonts w:ascii="Calibri" w:hAnsi="Calibri"/>
                <w:sz w:val="22"/>
              </w:rPr>
              <w:t>Fecha:</w:t>
            </w:r>
          </w:p>
        </w:tc>
        <w:tc>
          <w:tcPr>
            <w:tcW w:type="dxa" w:w="4561"/>
          </w:tcPr>
          <w:p>
            <w:r>
              <w:rPr>
                <w:rFonts w:ascii="Calibri" w:hAnsi="Calibri"/>
                <w:sz w:val="22"/>
              </w:rPr>
              <w:t>Junio 2025</w:t>
            </w:r>
          </w:p>
        </w:tc>
      </w:tr>
      <w:tr>
        <w:tc>
          <w:tcPr>
            <w:tcW w:type="dxa" w:w="4561"/>
            <w:shd w:val="clear" w:color="auto" w:fill="BDD7EE"/>
          </w:tcPr>
          <w:p>
            <w:r>
              <w:rPr>
                <w:rFonts w:ascii="Calibri" w:hAnsi="Calibri"/>
                <w:sz w:val="22"/>
              </w:rPr>
              <w:t>Responsable:</w:t>
            </w:r>
          </w:p>
        </w:tc>
        <w:tc>
          <w:tcPr>
            <w:tcW w:type="dxa" w:w="4561"/>
          </w:tcPr>
          <w:p>
            <w:r>
              <w:rPr>
                <w:rFonts w:ascii="Calibri" w:hAnsi="Calibri"/>
                <w:sz w:val="22"/>
              </w:rPr>
              <w:t>[NOMBRE DE LA MÉDICA]</w:t>
            </w:r>
          </w:p>
        </w:tc>
      </w:tr>
      <w:tr>
        <w:tc>
          <w:tcPr>
            <w:tcW w:type="dxa" w:w="4561"/>
            <w:shd w:val="clear" w:color="auto" w:fill="BDD7EE"/>
          </w:tcPr>
          <w:p>
            <w:r>
              <w:rPr>
                <w:rFonts w:ascii="Calibri" w:hAnsi="Calibri"/>
                <w:sz w:val="22"/>
              </w:rPr>
              <w:t>Dirección:</w:t>
            </w:r>
          </w:p>
        </w:tc>
        <w:tc>
          <w:tcPr>
            <w:tcW w:type="dxa" w:w="4561"/>
          </w:tcPr>
          <w:p>
            <w:r>
              <w:rPr>
                <w:rFonts w:ascii="Calibri" w:hAnsi="Calibri"/>
                <w:sz w:val="22"/>
              </w:rPr>
              <w:t>[DIRECCIÓN DEL CONSULTORIO]</w:t>
            </w:r>
          </w:p>
        </w:tc>
      </w:tr>
    </w:tbl>
    <w:p>
      <w:r>
        <w:br w:type="page"/>
      </w:r>
    </w:p>
    <w:p>
      <w:pPr>
        <w:spacing w:before="200" w:after="80"/>
      </w:pPr>
      <w:r>
        <w:rPr>
          <w:rFonts w:ascii="Calibri" w:hAnsi="Calibri"/>
          <w:b/>
          <w:color w:val="003366"/>
          <w:sz w:val="28"/>
        </w:rPr>
        <w:t>CONTROL DE VERSIONES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24"/>
        <w:gridCol w:w="1824"/>
        <w:gridCol w:w="1824"/>
        <w:gridCol w:w="1824"/>
        <w:gridCol w:w="1824"/>
      </w:tblGrid>
      <w:tr>
        <w:tc>
          <w:tcPr>
            <w:tcW w:type="dxa" w:w="1824"/>
            <w:shd w:val="clear" w:color="auto" w:fill="00336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Versión</w:t>
            </w:r>
          </w:p>
        </w:tc>
        <w:tc>
          <w:tcPr>
            <w:tcW w:type="dxa" w:w="1824"/>
            <w:shd w:val="clear" w:color="auto" w:fill="00336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Fecha</w:t>
            </w:r>
          </w:p>
        </w:tc>
        <w:tc>
          <w:tcPr>
            <w:tcW w:type="dxa" w:w="1824"/>
            <w:shd w:val="clear" w:color="auto" w:fill="00336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Descripción</w:t>
            </w:r>
          </w:p>
        </w:tc>
        <w:tc>
          <w:tcPr>
            <w:tcW w:type="dxa" w:w="1824"/>
            <w:shd w:val="clear" w:color="auto" w:fill="00336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Elaboró</w:t>
            </w:r>
          </w:p>
        </w:tc>
        <w:tc>
          <w:tcPr>
            <w:tcW w:type="dxa" w:w="1824"/>
            <w:shd w:val="clear" w:color="auto" w:fill="00336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Aprobó</w:t>
            </w:r>
          </w:p>
        </w:tc>
      </w:tr>
      <w:tr>
        <w:tc>
          <w:tcPr>
            <w:tcW w:type="dxa" w:w="1824"/>
          </w:tcPr>
          <w:p>
            <w:r>
              <w:rPr>
                <w:rFonts w:ascii="Calibri" w:hAnsi="Calibri"/>
                <w:sz w:val="20"/>
              </w:rPr>
              <w:t>1.0</w:t>
            </w:r>
          </w:p>
        </w:tc>
        <w:tc>
          <w:tcPr>
            <w:tcW w:type="dxa" w:w="1824"/>
          </w:tcPr>
          <w:p>
            <w:r>
              <w:rPr>
                <w:rFonts w:ascii="Calibri" w:hAnsi="Calibri"/>
                <w:sz w:val="20"/>
              </w:rPr>
              <w:t>Junio 2025</w:t>
            </w:r>
          </w:p>
        </w:tc>
        <w:tc>
          <w:tcPr>
            <w:tcW w:type="dxa" w:w="1824"/>
          </w:tcPr>
          <w:p>
            <w:r>
              <w:rPr>
                <w:rFonts w:ascii="Calibri" w:hAnsi="Calibri"/>
                <w:sz w:val="20"/>
              </w:rPr>
              <w:t>Creación del documento</w:t>
            </w:r>
          </w:p>
        </w:tc>
        <w:tc>
          <w:tcPr>
            <w:tcW w:type="dxa" w:w="1824"/>
          </w:tcPr>
          <w:p>
            <w:r>
              <w:rPr>
                <w:rFonts w:ascii="Calibri" w:hAnsi="Calibri"/>
                <w:sz w:val="20"/>
              </w:rPr>
              <w:t>[NOMBRE DE LA MÉDICA]</w:t>
            </w:r>
          </w:p>
        </w:tc>
        <w:tc>
          <w:tcPr>
            <w:tcW w:type="dxa" w:w="1824"/>
          </w:tcPr>
          <w:p>
            <w:r>
              <w:rPr>
                <w:rFonts w:ascii="Calibri" w:hAnsi="Calibri"/>
                <w:sz w:val="20"/>
              </w:rPr>
              <w:t>[NOMBRE DE LA MÉDICA]</w:t>
            </w:r>
          </w:p>
        </w:tc>
      </w:tr>
    </w:tbl>
    <w:p/>
    <w:p>
      <w:pPr>
        <w:spacing w:before="200" w:after="80"/>
      </w:pPr>
      <w:r>
        <w:rPr>
          <w:rFonts w:ascii="Calibri" w:hAnsi="Calibri"/>
          <w:b/>
          <w:color w:val="003366"/>
          <w:sz w:val="28"/>
        </w:rPr>
        <w:t>TABLA DE CONTENIDO</w:t>
      </w:r>
    </w:p>
    <w:p>
      <w:pPr>
        <w:spacing w:after="80"/>
      </w:pPr>
      <w:r>
        <w:rPr>
          <w:rFonts w:ascii="Calibri" w:hAnsi="Calibri"/>
          <w:sz w:val="22"/>
        </w:rPr>
        <w:t>1. Objetivo</w:t>
      </w:r>
    </w:p>
    <w:p>
      <w:pPr>
        <w:spacing w:after="80"/>
      </w:pPr>
      <w:r>
        <w:rPr>
          <w:rFonts w:ascii="Calibri" w:hAnsi="Calibri"/>
          <w:sz w:val="22"/>
        </w:rPr>
        <w:t>2. Alcance</w:t>
      </w:r>
    </w:p>
    <w:p>
      <w:pPr>
        <w:spacing w:after="80"/>
      </w:pPr>
      <w:r>
        <w:rPr>
          <w:rFonts w:ascii="Calibri" w:hAnsi="Calibri"/>
          <w:sz w:val="22"/>
        </w:rPr>
        <w:t>3. Marco Legal</w:t>
      </w:r>
    </w:p>
    <w:p>
      <w:pPr>
        <w:spacing w:after="80"/>
      </w:pPr>
      <w:r>
        <w:rPr>
          <w:rFonts w:ascii="Calibri" w:hAnsi="Calibri"/>
          <w:sz w:val="22"/>
        </w:rPr>
        <w:t>4. Definiciones</w:t>
      </w:r>
    </w:p>
    <w:p>
      <w:pPr>
        <w:spacing w:after="80"/>
      </w:pPr>
      <w:r>
        <w:rPr>
          <w:rFonts w:ascii="Calibri" w:hAnsi="Calibri"/>
          <w:sz w:val="22"/>
        </w:rPr>
        <w:t>5. Canales de Recepción</w:t>
      </w:r>
    </w:p>
    <w:p>
      <w:pPr>
        <w:spacing w:after="80"/>
      </w:pPr>
      <w:r>
        <w:rPr>
          <w:rFonts w:ascii="Calibri" w:hAnsi="Calibri"/>
          <w:sz w:val="22"/>
        </w:rPr>
        <w:t>6. Clasificación de PQRS</w:t>
      </w:r>
    </w:p>
    <w:p>
      <w:pPr>
        <w:spacing w:after="80"/>
      </w:pPr>
      <w:r>
        <w:rPr>
          <w:rFonts w:ascii="Calibri" w:hAnsi="Calibri"/>
          <w:sz w:val="22"/>
        </w:rPr>
        <w:t>7. Tiempos de Respuesta</w:t>
      </w:r>
    </w:p>
    <w:p>
      <w:pPr>
        <w:spacing w:after="80"/>
      </w:pPr>
      <w:r>
        <w:rPr>
          <w:rFonts w:ascii="Calibri" w:hAnsi="Calibri"/>
          <w:sz w:val="22"/>
        </w:rPr>
        <w:t>8. Flujograma de Atención</w:t>
      </w:r>
    </w:p>
    <w:p>
      <w:pPr>
        <w:spacing w:after="80"/>
      </w:pPr>
      <w:r>
        <w:rPr>
          <w:rFonts w:ascii="Calibri" w:hAnsi="Calibri"/>
          <w:sz w:val="22"/>
        </w:rPr>
        <w:t>9. Formato de Registro</w:t>
      </w:r>
    </w:p>
    <w:p>
      <w:pPr>
        <w:spacing w:after="80"/>
      </w:pPr>
      <w:r>
        <w:rPr>
          <w:rFonts w:ascii="Calibri" w:hAnsi="Calibri"/>
          <w:sz w:val="22"/>
        </w:rPr>
        <w:t>10. Análisis de Causas</w:t>
      </w:r>
    </w:p>
    <w:p>
      <w:pPr>
        <w:spacing w:after="80"/>
      </w:pPr>
      <w:r>
        <w:rPr>
          <w:rFonts w:ascii="Calibri" w:hAnsi="Calibri"/>
          <w:sz w:val="22"/>
        </w:rPr>
        <w:t>11. Acciones de Mejora</w:t>
      </w:r>
    </w:p>
    <w:p>
      <w:pPr>
        <w:spacing w:after="80"/>
      </w:pPr>
      <w:r>
        <w:rPr>
          <w:rFonts w:ascii="Calibri" w:hAnsi="Calibri"/>
          <w:sz w:val="22"/>
        </w:rPr>
        <w:t>12. Indicadores de Satisfacción</w:t>
      </w:r>
    </w:p>
    <w:p>
      <w:pPr>
        <w:spacing w:after="80"/>
      </w:pPr>
      <w:r>
        <w:rPr>
          <w:rFonts w:ascii="Calibri" w:hAnsi="Calibri"/>
          <w:sz w:val="22"/>
        </w:rPr>
        <w:t>13. Responsables</w:t>
      </w:r>
    </w:p>
    <w:p>
      <w:pPr>
        <w:spacing w:after="80"/>
      </w:pPr>
      <w:r>
        <w:rPr>
          <w:rFonts w:ascii="Calibri" w:hAnsi="Calibri"/>
          <w:sz w:val="22"/>
        </w:rPr>
        <w:t>14. Registros</w:t>
      </w:r>
    </w:p>
    <w:p>
      <w:r>
        <w:br w:type="page"/>
      </w:r>
    </w:p>
    <w:p>
      <w:pPr>
        <w:spacing w:before="200" w:after="80"/>
      </w:pPr>
      <w:r>
        <w:rPr>
          <w:rFonts w:ascii="Calibri" w:hAnsi="Calibri"/>
          <w:b/>
          <w:color w:val="003366"/>
          <w:sz w:val="28"/>
        </w:rPr>
        <w:t>1. OBJETIVO</w:t>
      </w:r>
    </w:p>
    <w:p>
      <w:pPr>
        <w:spacing w:after="80"/>
      </w:pPr>
      <w:r>
        <w:rPr>
          <w:rFonts w:ascii="Calibri" w:hAnsi="Calibri"/>
          <w:sz w:val="22"/>
        </w:rPr>
        <w:t>Establecer el proceso para recibir, clasificar, atender y dar respuesta oportuna a las Peticiones, Quejas, Reclamos y Sugerencias (PQRS) presentadas por los usuarios del consultorio [NOMBRE DEL CONSULTORIO], garantizando el respeto por sus derechos, la mejora continua de los servicios y el cumplimiento de la normatividad vigente en materia de atención al usuario en salud.</w:t>
      </w:r>
    </w:p>
    <w:p>
      <w:pPr>
        <w:spacing w:before="200" w:after="80"/>
      </w:pPr>
      <w:r>
        <w:rPr>
          <w:rFonts w:ascii="Calibri" w:hAnsi="Calibri"/>
          <w:b/>
          <w:color w:val="003366"/>
          <w:sz w:val="28"/>
        </w:rPr>
        <w:t>2. ALCANCE</w:t>
      </w:r>
    </w:p>
    <w:p>
      <w:pPr>
        <w:spacing w:after="80"/>
      </w:pPr>
      <w:r>
        <w:rPr>
          <w:rFonts w:ascii="Calibri" w:hAnsi="Calibri"/>
          <w:sz w:val="22"/>
        </w:rPr>
        <w:t>Aplica a todas las PQRS recibidas de usuarios, familiares, acompañantes, entidades o cualquier persona relacionada con la prestación de servicios de salud del consultorio [NOMBRE DEL CONSULTORIO], a través de cualquier canal de recepción habilitado.</w:t>
      </w:r>
    </w:p>
    <w:p>
      <w:pPr>
        <w:spacing w:before="200" w:after="80"/>
      </w:pPr>
      <w:r>
        <w:rPr>
          <w:rFonts w:ascii="Calibri" w:hAnsi="Calibri"/>
          <w:b/>
          <w:color w:val="003366"/>
          <w:sz w:val="28"/>
        </w:rPr>
        <w:t>3. MARCO LEGAL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  <w:shd w:val="clear" w:color="auto" w:fill="00336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Norma</w:t>
            </w:r>
          </w:p>
        </w:tc>
        <w:tc>
          <w:tcPr>
            <w:tcW w:type="dxa" w:w="4561"/>
            <w:shd w:val="clear" w:color="auto" w:fill="00336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Descripción</w:t>
            </w:r>
          </w:p>
        </w:tc>
      </w:tr>
      <w:tr>
        <w:tc>
          <w:tcPr>
            <w:tcW w:type="dxa" w:w="4561"/>
            <w:shd w:val="clear" w:color="auto" w:fill="EBF3FB"/>
          </w:tcPr>
          <w:p>
            <w:r>
              <w:rPr>
                <w:rFonts w:ascii="Calibri" w:hAnsi="Calibri"/>
                <w:sz w:val="20"/>
              </w:rPr>
              <w:t>Ley 1122 de 2007</w:t>
            </w:r>
          </w:p>
        </w:tc>
        <w:tc>
          <w:tcPr>
            <w:tcW w:type="dxa" w:w="4561"/>
          </w:tcPr>
          <w:p>
            <w:r>
              <w:rPr>
                <w:rFonts w:ascii="Calibri" w:hAnsi="Calibri"/>
                <w:sz w:val="20"/>
              </w:rPr>
              <w:t>Por la cual se hacen algunas modificaciones en el Sistema General de Seguridad Social en Salud. Establece el derecho de los usuarios a presentar peticiones, quejas y reclamos.</w:t>
            </w:r>
          </w:p>
        </w:tc>
      </w:tr>
      <w:tr>
        <w:tc>
          <w:tcPr>
            <w:tcW w:type="dxa" w:w="4561"/>
            <w:shd w:val="clear" w:color="auto" w:fill="EBF3FB"/>
          </w:tcPr>
          <w:p>
            <w:r>
              <w:rPr>
                <w:rFonts w:ascii="Calibri" w:hAnsi="Calibri"/>
                <w:sz w:val="20"/>
              </w:rPr>
              <w:t>Resolución 1552 de 2013</w:t>
            </w:r>
          </w:p>
        </w:tc>
        <w:tc>
          <w:tcPr>
            <w:tcW w:type="dxa" w:w="4561"/>
          </w:tcPr>
          <w:p>
            <w:r>
              <w:rPr>
                <w:rFonts w:ascii="Calibri" w:hAnsi="Calibri"/>
                <w:sz w:val="20"/>
              </w:rPr>
              <w:t>Por la cual se definen los indicadores de monitoreo del Sistema de Información para la Calidad, incluyendo la satisfacción del usuario.</w:t>
            </w:r>
          </w:p>
        </w:tc>
      </w:tr>
      <w:tr>
        <w:tc>
          <w:tcPr>
            <w:tcW w:type="dxa" w:w="4561"/>
            <w:shd w:val="clear" w:color="auto" w:fill="EBF3FB"/>
          </w:tcPr>
          <w:p>
            <w:r>
              <w:rPr>
                <w:rFonts w:ascii="Calibri" w:hAnsi="Calibri"/>
                <w:sz w:val="20"/>
              </w:rPr>
              <w:t>Ley 1437 de 2011</w:t>
            </w:r>
          </w:p>
        </w:tc>
        <w:tc>
          <w:tcPr>
            <w:tcW w:type="dxa" w:w="4561"/>
          </w:tcPr>
          <w:p>
            <w:r>
              <w:rPr>
                <w:rFonts w:ascii="Calibri" w:hAnsi="Calibri"/>
                <w:sz w:val="20"/>
              </w:rPr>
              <w:t>Código de Procedimiento Administrativo y de lo Contencioso Administrativo. Regula el derecho de petición.</w:t>
            </w:r>
          </w:p>
        </w:tc>
      </w:tr>
      <w:tr>
        <w:tc>
          <w:tcPr>
            <w:tcW w:type="dxa" w:w="4561"/>
            <w:shd w:val="clear" w:color="auto" w:fill="EBF3FB"/>
          </w:tcPr>
          <w:p>
            <w:r>
              <w:rPr>
                <w:rFonts w:ascii="Calibri" w:hAnsi="Calibri"/>
                <w:sz w:val="20"/>
              </w:rPr>
              <w:t>Ley 23 de 1981</w:t>
            </w:r>
          </w:p>
        </w:tc>
        <w:tc>
          <w:tcPr>
            <w:tcW w:type="dxa" w:w="4561"/>
          </w:tcPr>
          <w:p>
            <w:r>
              <w:rPr>
                <w:rFonts w:ascii="Calibri" w:hAnsi="Calibri"/>
                <w:sz w:val="20"/>
              </w:rPr>
              <w:t>Código de Ética Médica. Deberes del médico con los pacientes.</w:t>
            </w:r>
          </w:p>
        </w:tc>
      </w:tr>
      <w:tr>
        <w:tc>
          <w:tcPr>
            <w:tcW w:type="dxa" w:w="4561"/>
            <w:shd w:val="clear" w:color="auto" w:fill="EBF3FB"/>
          </w:tcPr>
          <w:p>
            <w:r>
              <w:rPr>
                <w:rFonts w:ascii="Calibri" w:hAnsi="Calibri"/>
                <w:sz w:val="20"/>
              </w:rPr>
              <w:t>Resolución 13437 de 1991</w:t>
            </w:r>
          </w:p>
        </w:tc>
        <w:tc>
          <w:tcPr>
            <w:tcW w:type="dxa" w:w="4561"/>
          </w:tcPr>
          <w:p>
            <w:r>
              <w:rPr>
                <w:rFonts w:ascii="Calibri" w:hAnsi="Calibri"/>
                <w:sz w:val="20"/>
              </w:rPr>
              <w:t>Derechos de los pacientes. Lista de derechos que deben conocer los usuarios.</w:t>
            </w:r>
          </w:p>
        </w:tc>
      </w:tr>
      <w:tr>
        <w:tc>
          <w:tcPr>
            <w:tcW w:type="dxa" w:w="4561"/>
            <w:shd w:val="clear" w:color="auto" w:fill="EBF3FB"/>
          </w:tcPr>
          <w:p>
            <w:r>
              <w:rPr>
                <w:rFonts w:ascii="Calibri" w:hAnsi="Calibri"/>
                <w:sz w:val="20"/>
              </w:rPr>
              <w:t>Ley 1755 de 2015</w:t>
            </w:r>
          </w:p>
        </w:tc>
        <w:tc>
          <w:tcPr>
            <w:tcW w:type="dxa" w:w="4561"/>
          </w:tcPr>
          <w:p>
            <w:r>
              <w:rPr>
                <w:rFonts w:ascii="Calibri" w:hAnsi="Calibri"/>
                <w:sz w:val="20"/>
              </w:rPr>
              <w:t>Por medio de la cual se regula el Derecho Fundamental de Petición.</w:t>
            </w:r>
          </w:p>
        </w:tc>
      </w:tr>
    </w:tbl>
    <w:p/>
    <w:p>
      <w:pPr>
        <w:spacing w:before="200" w:after="80"/>
      </w:pPr>
      <w:r>
        <w:rPr>
          <w:rFonts w:ascii="Calibri" w:hAnsi="Calibri"/>
          <w:b/>
          <w:color w:val="003366"/>
          <w:sz w:val="28"/>
        </w:rPr>
        <w:t>4. DEFINICIONES</w:t>
      </w:r>
    </w:p>
    <w:p>
      <w:r>
        <w:rPr>
          <w:rFonts w:ascii="Calibri" w:hAnsi="Calibri"/>
          <w:b/>
          <w:sz w:val="22"/>
        </w:rPr>
        <w:t xml:space="preserve">Petición: </w:t>
      </w:r>
      <w:r>
        <w:rPr>
          <w:rFonts w:ascii="Calibri" w:hAnsi="Calibri"/>
          <w:sz w:val="22"/>
        </w:rPr>
        <w:t>Solicitud de información, documentos o aclaración sobre los servicios prestados.</w:t>
      </w:r>
    </w:p>
    <w:p>
      <w:r>
        <w:rPr>
          <w:rFonts w:ascii="Calibri" w:hAnsi="Calibri"/>
          <w:b/>
          <w:sz w:val="22"/>
        </w:rPr>
        <w:t xml:space="preserve">Queja: </w:t>
      </w:r>
      <w:r>
        <w:rPr>
          <w:rFonts w:ascii="Calibri" w:hAnsi="Calibri"/>
          <w:sz w:val="22"/>
        </w:rPr>
        <w:t>Expresión de insatisfacción del usuario sobre la atención recibida, sin pretensión de resarcimiento.</w:t>
      </w:r>
    </w:p>
    <w:p>
      <w:r>
        <w:rPr>
          <w:rFonts w:ascii="Calibri" w:hAnsi="Calibri"/>
          <w:b/>
          <w:sz w:val="22"/>
        </w:rPr>
        <w:t xml:space="preserve">Reclamo: </w:t>
      </w:r>
      <w:r>
        <w:rPr>
          <w:rFonts w:ascii="Calibri" w:hAnsi="Calibri"/>
          <w:sz w:val="22"/>
        </w:rPr>
        <w:t>Solicitud de corrección o compensación por parte del usuario que considera se han vulnerado sus derechos.</w:t>
      </w:r>
    </w:p>
    <w:p>
      <w:r>
        <w:rPr>
          <w:rFonts w:ascii="Calibri" w:hAnsi="Calibri"/>
          <w:b/>
          <w:sz w:val="22"/>
        </w:rPr>
        <w:t xml:space="preserve">Sugerencia: </w:t>
      </w:r>
      <w:r>
        <w:rPr>
          <w:rFonts w:ascii="Calibri" w:hAnsi="Calibri"/>
          <w:sz w:val="22"/>
        </w:rPr>
        <w:t>Propuesta del usuario orientada a mejorar la calidad de los servicios prestados.</w:t>
      </w:r>
    </w:p>
    <w:p>
      <w:r>
        <w:rPr>
          <w:rFonts w:ascii="Calibri" w:hAnsi="Calibri"/>
          <w:b/>
          <w:sz w:val="22"/>
        </w:rPr>
        <w:t xml:space="preserve">PQRS: </w:t>
      </w:r>
      <w:r>
        <w:rPr>
          <w:rFonts w:ascii="Calibri" w:hAnsi="Calibri"/>
          <w:sz w:val="22"/>
        </w:rPr>
        <w:t>Acrónimo de Petición, Queja, Reclamo y Sugerencia. Sistema de atención al usuario.</w:t>
      </w:r>
    </w:p>
    <w:p>
      <w:r>
        <w:rPr>
          <w:rFonts w:ascii="Calibri" w:hAnsi="Calibri"/>
          <w:b/>
          <w:sz w:val="22"/>
        </w:rPr>
        <w:t xml:space="preserve">Tiempo de respuesta: </w:t>
      </w:r>
      <w:r>
        <w:rPr>
          <w:rFonts w:ascii="Calibri" w:hAnsi="Calibri"/>
          <w:sz w:val="22"/>
        </w:rPr>
        <w:t>Plazo máximo establecido para dar respuesta a una PQRS desde su recepción.</w:t>
      </w:r>
    </w:p>
    <w:p>
      <w:r>
        <w:rPr>
          <w:rFonts w:ascii="Calibri" w:hAnsi="Calibri"/>
          <w:b/>
          <w:sz w:val="22"/>
        </w:rPr>
        <w:t xml:space="preserve">Causa raíz: </w:t>
      </w:r>
      <w:r>
        <w:rPr>
          <w:rFonts w:ascii="Calibri" w:hAnsi="Calibri"/>
          <w:sz w:val="22"/>
        </w:rPr>
        <w:t>Factor fundamental que origina un problema y cuya eliminación evita la recurrencia.</w:t>
      </w:r>
    </w:p>
    <w:p>
      <w:pPr>
        <w:spacing w:before="200" w:after="80"/>
      </w:pPr>
      <w:r>
        <w:rPr>
          <w:rFonts w:ascii="Calibri" w:hAnsi="Calibri"/>
          <w:b/>
          <w:color w:val="003366"/>
          <w:sz w:val="28"/>
        </w:rPr>
        <w:t>5. CANALES DE RECEPCIÓN</w:t>
      </w:r>
    </w:p>
    <w:p>
      <w:pPr>
        <w:spacing w:after="80"/>
      </w:pPr>
      <w:r>
        <w:rPr>
          <w:rFonts w:ascii="Calibri" w:hAnsi="Calibri"/>
          <w:sz w:val="22"/>
        </w:rPr>
        <w:t>El consultorio [NOMBRE DEL CONSULTORIO] habilita los siguientes canales para la recepción de PQRS: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  <w:shd w:val="clear" w:color="auto" w:fill="00336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Canal</w:t>
            </w:r>
          </w:p>
        </w:tc>
        <w:tc>
          <w:tcPr>
            <w:tcW w:type="dxa" w:w="2280"/>
            <w:shd w:val="clear" w:color="auto" w:fill="00336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Descripción</w:t>
            </w:r>
          </w:p>
        </w:tc>
        <w:tc>
          <w:tcPr>
            <w:tcW w:type="dxa" w:w="2280"/>
            <w:shd w:val="clear" w:color="auto" w:fill="00336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Disponibilidad</w:t>
            </w:r>
          </w:p>
        </w:tc>
        <w:tc>
          <w:tcPr>
            <w:tcW w:type="dxa" w:w="2280"/>
            <w:shd w:val="clear" w:color="auto" w:fill="00336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Responsable de Recepción</w:t>
            </w:r>
          </w:p>
        </w:tc>
      </w:tr>
      <w:tr>
        <w:tc>
          <w:tcPr>
            <w:tcW w:type="dxa" w:w="2280"/>
            <w:shd w:val="clear" w:color="auto" w:fill="EBF3FB"/>
          </w:tcPr>
          <w:p>
            <w:r>
              <w:rPr>
                <w:rFonts w:ascii="Calibri" w:hAnsi="Calibri"/>
                <w:sz w:val="20"/>
              </w:rPr>
              <w:t>Presencial</w:t>
            </w:r>
          </w:p>
        </w:tc>
        <w:tc>
          <w:tcPr>
            <w:tcW w:type="dxa" w:w="2280"/>
            <w:shd w:val="clear" w:color="auto" w:fill="EBF3FB"/>
          </w:tcPr>
          <w:p>
            <w:r>
              <w:rPr>
                <w:rFonts w:ascii="Calibri" w:hAnsi="Calibri"/>
                <w:sz w:val="20"/>
              </w:rPr>
              <w:t>Buzón de sugerencias en recepción y atención directa al usuario</w:t>
            </w:r>
          </w:p>
        </w:tc>
        <w:tc>
          <w:tcPr>
            <w:tcW w:type="dxa" w:w="2280"/>
            <w:shd w:val="clear" w:color="auto" w:fill="EBF3FB"/>
          </w:tcPr>
          <w:p>
            <w:r>
              <w:rPr>
                <w:rFonts w:ascii="Calibri" w:hAnsi="Calibri"/>
                <w:sz w:val="20"/>
              </w:rPr>
              <w:t>Horario de atención</w:t>
            </w:r>
          </w:p>
        </w:tc>
        <w:tc>
          <w:tcPr>
            <w:tcW w:type="dxa" w:w="2280"/>
            <w:shd w:val="clear" w:color="auto" w:fill="EBF3FB"/>
          </w:tcPr>
          <w:p>
            <w:r>
              <w:rPr>
                <w:rFonts w:ascii="Calibri" w:hAnsi="Calibri"/>
                <w:sz w:val="20"/>
              </w:rPr>
              <w:t>Personal de recepción / [NOMBRE DE LA MÉDICA]</w:t>
            </w:r>
          </w:p>
        </w:tc>
      </w:tr>
      <w:tr>
        <w:tc>
          <w:tcPr>
            <w:tcW w:type="dxa" w:w="2280"/>
          </w:tcPr>
          <w:p>
            <w:r>
              <w:rPr>
                <w:rFonts w:ascii="Calibri" w:hAnsi="Calibri"/>
                <w:sz w:val="20"/>
              </w:rPr>
              <w:t>Telefónico</w:t>
            </w:r>
          </w:p>
        </w:tc>
        <w:tc>
          <w:tcPr>
            <w:tcW w:type="dxa" w:w="2280"/>
          </w:tcPr>
          <w:p>
            <w:r>
              <w:rPr>
                <w:rFonts w:ascii="Calibri" w:hAnsi="Calibri"/>
                <w:sz w:val="20"/>
              </w:rPr>
              <w:t>Número de contacto del consultorio: [TELÉFONO]</w:t>
            </w:r>
          </w:p>
        </w:tc>
        <w:tc>
          <w:tcPr>
            <w:tcW w:type="dxa" w:w="2280"/>
          </w:tcPr>
          <w:p>
            <w:r>
              <w:rPr>
                <w:rFonts w:ascii="Calibri" w:hAnsi="Calibri"/>
                <w:sz w:val="20"/>
              </w:rPr>
              <w:t>Horario de atención</w:t>
            </w:r>
          </w:p>
        </w:tc>
        <w:tc>
          <w:tcPr>
            <w:tcW w:type="dxa" w:w="2280"/>
          </w:tcPr>
          <w:p>
            <w:r>
              <w:rPr>
                <w:rFonts w:ascii="Calibri" w:hAnsi="Calibri"/>
                <w:sz w:val="20"/>
              </w:rPr>
              <w:t>Personal de recepción</w:t>
            </w:r>
          </w:p>
        </w:tc>
      </w:tr>
      <w:tr>
        <w:tc>
          <w:tcPr>
            <w:tcW w:type="dxa" w:w="2280"/>
            <w:shd w:val="clear" w:color="auto" w:fill="EBF3FB"/>
          </w:tcPr>
          <w:p>
            <w:r>
              <w:rPr>
                <w:rFonts w:ascii="Calibri" w:hAnsi="Calibri"/>
                <w:sz w:val="20"/>
              </w:rPr>
              <w:t>Correo electrónico</w:t>
            </w:r>
          </w:p>
        </w:tc>
        <w:tc>
          <w:tcPr>
            <w:tcW w:type="dxa" w:w="2280"/>
            <w:shd w:val="clear" w:color="auto" w:fill="EBF3FB"/>
          </w:tcPr>
          <w:p>
            <w:r>
              <w:rPr>
                <w:rFonts w:ascii="Calibri" w:hAnsi="Calibri"/>
                <w:sz w:val="20"/>
              </w:rPr>
              <w:t>[CORREO DEL CONSULTORIO]</w:t>
            </w:r>
          </w:p>
        </w:tc>
        <w:tc>
          <w:tcPr>
            <w:tcW w:type="dxa" w:w="2280"/>
            <w:shd w:val="clear" w:color="auto" w:fill="EBF3FB"/>
          </w:tcPr>
          <w:p>
            <w:r>
              <w:rPr>
                <w:rFonts w:ascii="Calibri" w:hAnsi="Calibri"/>
                <w:sz w:val="20"/>
              </w:rPr>
              <w:t>24/7 (respuesta en horario laboral)</w:t>
            </w:r>
          </w:p>
        </w:tc>
        <w:tc>
          <w:tcPr>
            <w:tcW w:type="dxa" w:w="2280"/>
            <w:shd w:val="clear" w:color="auto" w:fill="EBF3FB"/>
          </w:tcPr>
          <w:p>
            <w:r>
              <w:rPr>
                <w:rFonts w:ascii="Calibri" w:hAnsi="Calibri"/>
                <w:sz w:val="20"/>
              </w:rPr>
              <w:t>[NOMBRE DE LA MÉDICA]</w:t>
            </w:r>
          </w:p>
        </w:tc>
      </w:tr>
      <w:tr>
        <w:tc>
          <w:tcPr>
            <w:tcW w:type="dxa" w:w="2280"/>
          </w:tcPr>
          <w:p>
            <w:r>
              <w:rPr>
                <w:rFonts w:ascii="Calibri" w:hAnsi="Calibri"/>
                <w:sz w:val="20"/>
              </w:rPr>
              <w:t>Redes sociales / WhatsApp</w:t>
            </w:r>
          </w:p>
        </w:tc>
        <w:tc>
          <w:tcPr>
            <w:tcW w:type="dxa" w:w="2280"/>
          </w:tcPr>
          <w:p>
            <w:r>
              <w:rPr>
                <w:rFonts w:ascii="Calibri" w:hAnsi="Calibri"/>
                <w:sz w:val="20"/>
              </w:rPr>
              <w:t>Mensajería a través de los canales oficiales del consultorio</w:t>
            </w:r>
          </w:p>
        </w:tc>
        <w:tc>
          <w:tcPr>
            <w:tcW w:type="dxa" w:w="2280"/>
          </w:tcPr>
          <w:p>
            <w:r>
              <w:rPr>
                <w:rFonts w:ascii="Calibri" w:hAnsi="Calibri"/>
                <w:sz w:val="20"/>
              </w:rPr>
              <w:t>24/7 (respuesta en horario laboral)</w:t>
            </w:r>
          </w:p>
        </w:tc>
        <w:tc>
          <w:tcPr>
            <w:tcW w:type="dxa" w:w="2280"/>
          </w:tcPr>
          <w:p>
            <w:r>
              <w:rPr>
                <w:rFonts w:ascii="Calibri" w:hAnsi="Calibri"/>
                <w:sz w:val="20"/>
              </w:rPr>
              <w:t>[NOMBRE DE LA MÉDICA]</w:t>
            </w:r>
          </w:p>
        </w:tc>
      </w:tr>
      <w:tr>
        <w:tc>
          <w:tcPr>
            <w:tcW w:type="dxa" w:w="2280"/>
            <w:shd w:val="clear" w:color="auto" w:fill="EBF3FB"/>
          </w:tcPr>
          <w:p>
            <w:r>
              <w:rPr>
                <w:rFonts w:ascii="Calibri" w:hAnsi="Calibri"/>
                <w:sz w:val="20"/>
              </w:rPr>
              <w:t>Formulario físico</w:t>
            </w:r>
          </w:p>
        </w:tc>
        <w:tc>
          <w:tcPr>
            <w:tcW w:type="dxa" w:w="2280"/>
            <w:shd w:val="clear" w:color="auto" w:fill="EBF3FB"/>
          </w:tcPr>
          <w:p>
            <w:r>
              <w:rPr>
                <w:rFonts w:ascii="Calibri" w:hAnsi="Calibri"/>
                <w:sz w:val="20"/>
              </w:rPr>
              <w:t>Formato de PQRS disponible en recepción</w:t>
            </w:r>
          </w:p>
        </w:tc>
        <w:tc>
          <w:tcPr>
            <w:tcW w:type="dxa" w:w="2280"/>
            <w:shd w:val="clear" w:color="auto" w:fill="EBF3FB"/>
          </w:tcPr>
          <w:p>
            <w:r>
              <w:rPr>
                <w:rFonts w:ascii="Calibri" w:hAnsi="Calibri"/>
                <w:sz w:val="20"/>
              </w:rPr>
              <w:t>Horario de atención</w:t>
            </w:r>
          </w:p>
        </w:tc>
        <w:tc>
          <w:tcPr>
            <w:tcW w:type="dxa" w:w="2280"/>
            <w:shd w:val="clear" w:color="auto" w:fill="EBF3FB"/>
          </w:tcPr>
          <w:p>
            <w:r>
              <w:rPr>
                <w:rFonts w:ascii="Calibri" w:hAnsi="Calibri"/>
                <w:sz w:val="20"/>
              </w:rPr>
              <w:t>Personal de recepción</w:t>
            </w:r>
          </w:p>
        </w:tc>
      </w:tr>
    </w:tbl>
    <w:p/>
    <w:p>
      <w:pPr>
        <w:spacing w:before="200" w:after="80"/>
      </w:pPr>
      <w:r>
        <w:rPr>
          <w:rFonts w:ascii="Calibri" w:hAnsi="Calibri"/>
          <w:b/>
          <w:color w:val="003366"/>
          <w:sz w:val="28"/>
        </w:rPr>
        <w:t>6. CLASIFICACIÓN DE PQRS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  <w:shd w:val="clear" w:color="auto" w:fill="00336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Tipo</w:t>
            </w:r>
          </w:p>
        </w:tc>
        <w:tc>
          <w:tcPr>
            <w:tcW w:type="dxa" w:w="2280"/>
            <w:shd w:val="clear" w:color="auto" w:fill="00336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Descripción</w:t>
            </w:r>
          </w:p>
        </w:tc>
        <w:tc>
          <w:tcPr>
            <w:tcW w:type="dxa" w:w="2280"/>
            <w:shd w:val="clear" w:color="auto" w:fill="00336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Ejemplos</w:t>
            </w:r>
          </w:p>
        </w:tc>
        <w:tc>
          <w:tcPr>
            <w:tcW w:type="dxa" w:w="2280"/>
            <w:shd w:val="clear" w:color="auto" w:fill="00336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Tiempo de Respuesta</w:t>
            </w:r>
          </w:p>
        </w:tc>
      </w:tr>
      <w:tr>
        <w:tc>
          <w:tcPr>
            <w:tcW w:type="dxa" w:w="2280"/>
          </w:tcPr>
          <w:p>
            <w:r>
              <w:rPr>
                <w:rFonts w:ascii="Calibri" w:hAnsi="Calibri"/>
                <w:sz w:val="20"/>
              </w:rPr>
              <w:t>PETICIÓN</w:t>
            </w:r>
          </w:p>
        </w:tc>
        <w:tc>
          <w:tcPr>
            <w:tcW w:type="dxa" w:w="2280"/>
          </w:tcPr>
          <w:p>
            <w:r>
              <w:rPr>
                <w:rFonts w:ascii="Calibri" w:hAnsi="Calibri"/>
                <w:sz w:val="20"/>
              </w:rPr>
              <w:t>Solicitud de información o documentos</w:t>
            </w:r>
          </w:p>
        </w:tc>
        <w:tc>
          <w:tcPr>
            <w:tcW w:type="dxa" w:w="2280"/>
          </w:tcPr>
          <w:p>
            <w:r>
              <w:rPr>
                <w:rFonts w:ascii="Calibri" w:hAnsi="Calibri"/>
                <w:sz w:val="20"/>
              </w:rPr>
              <w:t>Solicitud de copia de historia clínica, certificado de atención, información sobre tarifas</w:t>
            </w:r>
          </w:p>
        </w:tc>
        <w:tc>
          <w:tcPr>
            <w:tcW w:type="dxa" w:w="2280"/>
          </w:tcPr>
          <w:p>
            <w:r>
              <w:rPr>
                <w:rFonts w:ascii="Calibri" w:hAnsi="Calibri"/>
                <w:sz w:val="20"/>
              </w:rPr>
              <w:t>10 días hábiles</w:t>
            </w:r>
          </w:p>
        </w:tc>
      </w:tr>
      <w:tr>
        <w:tc>
          <w:tcPr>
            <w:tcW w:type="dxa" w:w="2280"/>
          </w:tcPr>
          <w:p>
            <w:r>
              <w:rPr>
                <w:rFonts w:ascii="Calibri" w:hAnsi="Calibri"/>
                <w:sz w:val="20"/>
              </w:rPr>
              <w:t>QUEJA</w:t>
            </w:r>
          </w:p>
        </w:tc>
        <w:tc>
          <w:tcPr>
            <w:tcW w:type="dxa" w:w="2280"/>
          </w:tcPr>
          <w:p>
            <w:r>
              <w:rPr>
                <w:rFonts w:ascii="Calibri" w:hAnsi="Calibri"/>
                <w:sz w:val="20"/>
              </w:rPr>
              <w:t>Expresión de insatisfacción sin pretensión de resarcimiento</w:t>
            </w:r>
          </w:p>
        </w:tc>
        <w:tc>
          <w:tcPr>
            <w:tcW w:type="dxa" w:w="2280"/>
          </w:tcPr>
          <w:p>
            <w:r>
              <w:rPr>
                <w:rFonts w:ascii="Calibri" w:hAnsi="Calibri"/>
                <w:sz w:val="20"/>
              </w:rPr>
              <w:t>Mal trato por parte del personal, instalaciones inadecuadas, tiempo de espera excesivo</w:t>
            </w:r>
          </w:p>
        </w:tc>
        <w:tc>
          <w:tcPr>
            <w:tcW w:type="dxa" w:w="2280"/>
          </w:tcPr>
          <w:p>
            <w:r>
              <w:rPr>
                <w:rFonts w:ascii="Calibri" w:hAnsi="Calibri"/>
                <w:sz w:val="20"/>
              </w:rPr>
              <w:t>15 días hábiles</w:t>
            </w:r>
          </w:p>
        </w:tc>
      </w:tr>
      <w:tr>
        <w:tc>
          <w:tcPr>
            <w:tcW w:type="dxa" w:w="2280"/>
          </w:tcPr>
          <w:p>
            <w:r>
              <w:rPr>
                <w:rFonts w:ascii="Calibri" w:hAnsi="Calibri"/>
                <w:sz w:val="20"/>
              </w:rPr>
              <w:t>RECLAMO</w:t>
            </w:r>
          </w:p>
        </w:tc>
        <w:tc>
          <w:tcPr>
            <w:tcW w:type="dxa" w:w="2280"/>
          </w:tcPr>
          <w:p>
            <w:r>
              <w:rPr>
                <w:rFonts w:ascii="Calibri" w:hAnsi="Calibri"/>
                <w:sz w:val="20"/>
              </w:rPr>
              <w:t>Solicitud de corrección por vulneración de derechos</w:t>
            </w:r>
          </w:p>
        </w:tc>
        <w:tc>
          <w:tcPr>
            <w:tcW w:type="dxa" w:w="2280"/>
          </w:tcPr>
          <w:p>
            <w:r>
              <w:rPr>
                <w:rFonts w:ascii="Calibri" w:hAnsi="Calibri"/>
                <w:sz w:val="20"/>
              </w:rPr>
              <w:t>Cobro excesivo, error en diagnóstico, negligencia percibida</w:t>
            </w:r>
          </w:p>
        </w:tc>
        <w:tc>
          <w:tcPr>
            <w:tcW w:type="dxa" w:w="2280"/>
          </w:tcPr>
          <w:p>
            <w:r>
              <w:rPr>
                <w:rFonts w:ascii="Calibri" w:hAnsi="Calibri"/>
                <w:sz w:val="20"/>
              </w:rPr>
              <w:t>15 días hábiles</w:t>
            </w:r>
          </w:p>
        </w:tc>
      </w:tr>
      <w:tr>
        <w:tc>
          <w:tcPr>
            <w:tcW w:type="dxa" w:w="2280"/>
          </w:tcPr>
          <w:p>
            <w:r>
              <w:rPr>
                <w:rFonts w:ascii="Calibri" w:hAnsi="Calibri"/>
                <w:sz w:val="20"/>
              </w:rPr>
              <w:t>SUGERENCIA</w:t>
            </w:r>
          </w:p>
        </w:tc>
        <w:tc>
          <w:tcPr>
            <w:tcW w:type="dxa" w:w="2280"/>
          </w:tcPr>
          <w:p>
            <w:r>
              <w:rPr>
                <w:rFonts w:ascii="Calibri" w:hAnsi="Calibri"/>
                <w:sz w:val="20"/>
              </w:rPr>
              <w:t>Propuesta de mejora</w:t>
            </w:r>
          </w:p>
        </w:tc>
        <w:tc>
          <w:tcPr>
            <w:tcW w:type="dxa" w:w="2280"/>
          </w:tcPr>
          <w:p>
            <w:r>
              <w:rPr>
                <w:rFonts w:ascii="Calibri" w:hAnsi="Calibri"/>
                <w:sz w:val="20"/>
              </w:rPr>
              <w:t>Ideas para mejorar el servicio, equipamiento o atención</w:t>
            </w:r>
          </w:p>
        </w:tc>
        <w:tc>
          <w:tcPr>
            <w:tcW w:type="dxa" w:w="2280"/>
          </w:tcPr>
          <w:p>
            <w:r>
              <w:rPr>
                <w:rFonts w:ascii="Calibri" w:hAnsi="Calibri"/>
                <w:sz w:val="20"/>
              </w:rPr>
              <w:t>No requiere respuesta formal, se agradece y evalúa</w:t>
            </w:r>
          </w:p>
        </w:tc>
      </w:tr>
    </w:tbl>
    <w:p/>
    <w:p>
      <w:pPr>
        <w:spacing w:before="200" w:after="80"/>
      </w:pPr>
      <w:r>
        <w:rPr>
          <w:rFonts w:ascii="Calibri" w:hAnsi="Calibri"/>
          <w:b/>
          <w:color w:val="003366"/>
          <w:sz w:val="28"/>
        </w:rPr>
        <w:t>7. TIEMPOS DE RESPUESTA</w:t>
      </w:r>
    </w:p>
    <w:p>
      <w:pPr>
        <w:spacing w:after="80"/>
      </w:pPr>
      <w:r>
        <w:rPr>
          <w:rFonts w:ascii="Calibri" w:hAnsi="Calibri"/>
          <w:sz w:val="22"/>
        </w:rPr>
        <w:t>Los tiempos de respuesta se establecen según el tipo de PQRS y la normatividad vigente: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  <w:shd w:val="clear" w:color="auto" w:fill="00336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Tipo de PQRS</w:t>
            </w:r>
          </w:p>
        </w:tc>
        <w:tc>
          <w:tcPr>
            <w:tcW w:type="dxa" w:w="2280"/>
            <w:shd w:val="clear" w:color="auto" w:fill="00336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Tiempo Máximo de Respuesta</w:t>
            </w:r>
          </w:p>
        </w:tc>
        <w:tc>
          <w:tcPr>
            <w:tcW w:type="dxa" w:w="2280"/>
            <w:shd w:val="clear" w:color="auto" w:fill="00336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Base Legal</w:t>
            </w:r>
          </w:p>
        </w:tc>
        <w:tc>
          <w:tcPr>
            <w:tcW w:type="dxa" w:w="2280"/>
            <w:shd w:val="clear" w:color="auto" w:fill="00336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Observaciones</w:t>
            </w:r>
          </w:p>
        </w:tc>
      </w:tr>
      <w:tr>
        <w:tc>
          <w:tcPr>
            <w:tcW w:type="dxa" w:w="2280"/>
            <w:shd w:val="clear" w:color="auto" w:fill="EBF3FB"/>
          </w:tcPr>
          <w:p>
            <w:r>
              <w:rPr>
                <w:rFonts w:ascii="Calibri" w:hAnsi="Calibri"/>
                <w:sz w:val="20"/>
              </w:rPr>
              <w:t>Petición de información general</w:t>
            </w:r>
          </w:p>
        </w:tc>
        <w:tc>
          <w:tcPr>
            <w:tcW w:type="dxa" w:w="2280"/>
            <w:shd w:val="clear" w:color="auto" w:fill="EBF3FB"/>
          </w:tcPr>
          <w:p>
            <w:r>
              <w:rPr>
                <w:rFonts w:ascii="Calibri" w:hAnsi="Calibri"/>
                <w:sz w:val="20"/>
              </w:rPr>
              <w:t>10 días hábiles</w:t>
            </w:r>
          </w:p>
        </w:tc>
        <w:tc>
          <w:tcPr>
            <w:tcW w:type="dxa" w:w="2280"/>
            <w:shd w:val="clear" w:color="auto" w:fill="EBF3FB"/>
          </w:tcPr>
          <w:p>
            <w:r>
              <w:rPr>
                <w:rFonts w:ascii="Calibri" w:hAnsi="Calibri"/>
                <w:sz w:val="20"/>
              </w:rPr>
              <w:t>Ley 1755/2015</w:t>
            </w:r>
          </w:p>
        </w:tc>
        <w:tc>
          <w:tcPr>
            <w:tcW w:type="dxa" w:w="2280"/>
            <w:shd w:val="clear" w:color="auto" w:fill="EBF3FB"/>
          </w:tcPr>
          <w:p>
            <w:r>
              <w:rPr>
                <w:rFonts w:ascii="Calibri" w:hAnsi="Calibri"/>
                <w:sz w:val="20"/>
              </w:rPr>
              <w:t>Contados desde la radicación</w:t>
            </w:r>
          </w:p>
        </w:tc>
      </w:tr>
      <w:tr>
        <w:tc>
          <w:tcPr>
            <w:tcW w:type="dxa" w:w="2280"/>
          </w:tcPr>
          <w:p>
            <w:r>
              <w:rPr>
                <w:rFonts w:ascii="Calibri" w:hAnsi="Calibri"/>
                <w:sz w:val="20"/>
              </w:rPr>
              <w:t>Queja</w:t>
            </w:r>
          </w:p>
        </w:tc>
        <w:tc>
          <w:tcPr>
            <w:tcW w:type="dxa" w:w="2280"/>
          </w:tcPr>
          <w:p>
            <w:r>
              <w:rPr>
                <w:rFonts w:ascii="Calibri" w:hAnsi="Calibri"/>
                <w:sz w:val="20"/>
              </w:rPr>
              <w:t>15 días hábiles</w:t>
            </w:r>
          </w:p>
        </w:tc>
        <w:tc>
          <w:tcPr>
            <w:tcW w:type="dxa" w:w="2280"/>
          </w:tcPr>
          <w:p>
            <w:r>
              <w:rPr>
                <w:rFonts w:ascii="Calibri" w:hAnsi="Calibri"/>
                <w:sz w:val="20"/>
              </w:rPr>
              <w:t>Ley 1122/2007</w:t>
            </w:r>
          </w:p>
        </w:tc>
        <w:tc>
          <w:tcPr>
            <w:tcW w:type="dxa" w:w="2280"/>
          </w:tcPr>
          <w:p>
            <w:r>
              <w:rPr>
                <w:rFonts w:ascii="Calibri" w:hAnsi="Calibri"/>
                <w:sz w:val="20"/>
              </w:rPr>
              <w:t>Con posibilidad de prórroga de 15 días más</w:t>
            </w:r>
          </w:p>
        </w:tc>
      </w:tr>
      <w:tr>
        <w:tc>
          <w:tcPr>
            <w:tcW w:type="dxa" w:w="2280"/>
            <w:shd w:val="clear" w:color="auto" w:fill="EBF3FB"/>
          </w:tcPr>
          <w:p>
            <w:r>
              <w:rPr>
                <w:rFonts w:ascii="Calibri" w:hAnsi="Calibri"/>
                <w:sz w:val="20"/>
              </w:rPr>
              <w:t>Reclamo</w:t>
            </w:r>
          </w:p>
        </w:tc>
        <w:tc>
          <w:tcPr>
            <w:tcW w:type="dxa" w:w="2280"/>
            <w:shd w:val="clear" w:color="auto" w:fill="EBF3FB"/>
          </w:tcPr>
          <w:p>
            <w:r>
              <w:rPr>
                <w:rFonts w:ascii="Calibri" w:hAnsi="Calibri"/>
                <w:sz w:val="20"/>
              </w:rPr>
              <w:t>15 días hábiles</w:t>
            </w:r>
          </w:p>
        </w:tc>
        <w:tc>
          <w:tcPr>
            <w:tcW w:type="dxa" w:w="2280"/>
            <w:shd w:val="clear" w:color="auto" w:fill="EBF3FB"/>
          </w:tcPr>
          <w:p>
            <w:r>
              <w:rPr>
                <w:rFonts w:ascii="Calibri" w:hAnsi="Calibri"/>
                <w:sz w:val="20"/>
              </w:rPr>
              <w:t>Ley 1122/2007</w:t>
            </w:r>
          </w:p>
        </w:tc>
        <w:tc>
          <w:tcPr>
            <w:tcW w:type="dxa" w:w="2280"/>
            <w:shd w:val="clear" w:color="auto" w:fill="EBF3FB"/>
          </w:tcPr>
          <w:p>
            <w:r>
              <w:rPr>
                <w:rFonts w:ascii="Calibri" w:hAnsi="Calibri"/>
                <w:sz w:val="20"/>
              </w:rPr>
              <w:t>Con posibilidad de prórroga de 15 días más</w:t>
            </w:r>
          </w:p>
        </w:tc>
      </w:tr>
      <w:tr>
        <w:tc>
          <w:tcPr>
            <w:tcW w:type="dxa" w:w="2280"/>
          </w:tcPr>
          <w:p>
            <w:r>
              <w:rPr>
                <w:rFonts w:ascii="Calibri" w:hAnsi="Calibri"/>
                <w:sz w:val="20"/>
              </w:rPr>
              <w:t>Petición de documentos (HC)</w:t>
            </w:r>
          </w:p>
        </w:tc>
        <w:tc>
          <w:tcPr>
            <w:tcW w:type="dxa" w:w="2280"/>
          </w:tcPr>
          <w:p>
            <w:r>
              <w:rPr>
                <w:rFonts w:ascii="Calibri" w:hAnsi="Calibri"/>
                <w:sz w:val="20"/>
              </w:rPr>
              <w:t>5 días hábiles</w:t>
            </w:r>
          </w:p>
        </w:tc>
        <w:tc>
          <w:tcPr>
            <w:tcW w:type="dxa" w:w="2280"/>
          </w:tcPr>
          <w:p>
            <w:r>
              <w:rPr>
                <w:rFonts w:ascii="Calibri" w:hAnsi="Calibri"/>
                <w:sz w:val="20"/>
              </w:rPr>
              <w:t>Res. 1995/1999</w:t>
            </w:r>
          </w:p>
        </w:tc>
        <w:tc>
          <w:tcPr>
            <w:tcW w:type="dxa" w:w="2280"/>
          </w:tcPr>
          <w:p>
            <w:r>
              <w:rPr>
                <w:rFonts w:ascii="Calibri" w:hAnsi="Calibri"/>
                <w:sz w:val="20"/>
              </w:rPr>
              <w:t>Copia de historia clínica</w:t>
            </w:r>
          </w:p>
        </w:tc>
      </w:tr>
    </w:tbl>
    <w:p/>
    <w:p>
      <w:pPr>
        <w:spacing w:before="200" w:after="80"/>
      </w:pPr>
      <w:r>
        <w:rPr>
          <w:rFonts w:ascii="Calibri" w:hAnsi="Calibri"/>
          <w:b/>
          <w:color w:val="003366"/>
          <w:sz w:val="28"/>
        </w:rPr>
        <w:t>8. FLUJOGRAMA DE ATENCIÓN DE PQRS</w:t>
      </w:r>
    </w:p>
    <w:p>
      <w:pPr>
        <w:spacing w:after="80"/>
      </w:pPr>
      <w:r>
        <w:rPr>
          <w:rFonts w:ascii="Calibri" w:hAnsi="Calibri"/>
          <w:sz w:val="22"/>
        </w:rPr>
        <w:t>El proceso de atención de PQRS sigue el siguiente flujograma: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  <w:shd w:val="clear" w:color="auto" w:fill="00336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Etapa</w:t>
            </w:r>
          </w:p>
        </w:tc>
        <w:tc>
          <w:tcPr>
            <w:tcW w:type="dxa" w:w="4561"/>
            <w:shd w:val="clear" w:color="auto" w:fill="00336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Descripción del Proceso</w:t>
            </w:r>
          </w:p>
        </w:tc>
      </w:tr>
      <w:tr>
        <w:tc>
          <w:tcPr>
            <w:tcW w:type="dxa" w:w="4561"/>
            <w:shd w:val="clear" w:color="auto" w:fill="BDD7EE"/>
          </w:tcPr>
          <w:p>
            <w:r>
              <w:rPr>
                <w:rFonts w:ascii="Calibri" w:hAnsi="Calibri"/>
                <w:sz w:val="18"/>
              </w:rPr>
              <w:t>1. RECEPCIÓN</w:t>
            </w:r>
          </w:p>
        </w:tc>
        <w:tc>
          <w:tcPr>
            <w:tcW w:type="dxa" w:w="4561"/>
          </w:tcPr>
          <w:p>
            <w:r>
              <w:rPr>
                <w:rFonts w:ascii="Calibri" w:hAnsi="Calibri"/>
                <w:sz w:val="18"/>
              </w:rPr>
              <w:t>El usuario presenta la PQRS a través de cualquiera de los canales habilitados. El personal de recepción o [NOMBRE DE LA MÉDICA] recibe y registra la PQRS en el formato de registro (FOR-GC-003-01).</w:t>
            </w:r>
          </w:p>
        </w:tc>
      </w:tr>
      <w:tr>
        <w:tc>
          <w:tcPr>
            <w:tcW w:type="dxa" w:w="4561"/>
            <w:shd w:val="clear" w:color="auto" w:fill="EBF3FB"/>
          </w:tcPr>
          <w:p>
            <w:r>
              <w:rPr>
                <w:rFonts w:ascii="Calibri" w:hAnsi="Calibri"/>
                <w:sz w:val="18"/>
              </w:rPr>
              <w:t>2. RADICACIÓN</w:t>
            </w:r>
          </w:p>
        </w:tc>
        <w:tc>
          <w:tcPr>
            <w:tcW w:type="dxa" w:w="4561"/>
          </w:tcPr>
          <w:p>
            <w:r>
              <w:rPr>
                <w:rFonts w:ascii="Calibri" w:hAnsi="Calibri"/>
                <w:sz w:val="18"/>
              </w:rPr>
              <w:t>Se asigna número de radicado, fecha y hora de recepción. Se informa al usuario sobre el tiempo de respuesta y el número de radicado para seguimiento.</w:t>
            </w:r>
          </w:p>
        </w:tc>
      </w:tr>
      <w:tr>
        <w:tc>
          <w:tcPr>
            <w:tcW w:type="dxa" w:w="4561"/>
            <w:shd w:val="clear" w:color="auto" w:fill="BDD7EE"/>
          </w:tcPr>
          <w:p>
            <w:r>
              <w:rPr>
                <w:rFonts w:ascii="Calibri" w:hAnsi="Calibri"/>
                <w:sz w:val="18"/>
              </w:rPr>
              <w:t>3. CLASIFICACIÓN</w:t>
            </w:r>
          </w:p>
        </w:tc>
        <w:tc>
          <w:tcPr>
            <w:tcW w:type="dxa" w:w="4561"/>
          </w:tcPr>
          <w:p>
            <w:r>
              <w:rPr>
                <w:rFonts w:ascii="Calibri" w:hAnsi="Calibri"/>
                <w:sz w:val="18"/>
              </w:rPr>
              <w:t>Se clasifica la PQRS según el tipo (petición, queja, reclamo, sugerencia). Se determina el responsable de dar respuesta.</w:t>
            </w:r>
          </w:p>
        </w:tc>
      </w:tr>
      <w:tr>
        <w:tc>
          <w:tcPr>
            <w:tcW w:type="dxa" w:w="4561"/>
            <w:shd w:val="clear" w:color="auto" w:fill="EBF3FB"/>
          </w:tcPr>
          <w:p>
            <w:r>
              <w:rPr>
                <w:rFonts w:ascii="Calibri" w:hAnsi="Calibri"/>
                <w:sz w:val="18"/>
              </w:rPr>
              <w:t>4. ANÁLISIS</w:t>
            </w:r>
          </w:p>
        </w:tc>
        <w:tc>
          <w:tcPr>
            <w:tcW w:type="dxa" w:w="4561"/>
          </w:tcPr>
          <w:p>
            <w:r>
              <w:rPr>
                <w:rFonts w:ascii="Calibri" w:hAnsi="Calibri"/>
                <w:sz w:val="18"/>
              </w:rPr>
              <w:t>[NOMBRE DE LA MÉDICA] analiza la PQRS, revisa la historia clínica si aplica, entrevista al personal involucrado y busca la causa raíz del problema.</w:t>
            </w:r>
          </w:p>
        </w:tc>
      </w:tr>
      <w:tr>
        <w:tc>
          <w:tcPr>
            <w:tcW w:type="dxa" w:w="4561"/>
            <w:shd w:val="clear" w:color="auto" w:fill="BDD7EE"/>
          </w:tcPr>
          <w:p>
            <w:r>
              <w:rPr>
                <w:rFonts w:ascii="Calibri" w:hAnsi="Calibri"/>
                <w:sz w:val="18"/>
              </w:rPr>
              <w:t>5. FORMULACIÓN DE RESPUESTA</w:t>
            </w:r>
          </w:p>
        </w:tc>
        <w:tc>
          <w:tcPr>
            <w:tcW w:type="dxa" w:w="4561"/>
          </w:tcPr>
          <w:p>
            <w:r>
              <w:rPr>
                <w:rFonts w:ascii="Calibri" w:hAnsi="Calibri"/>
                <w:sz w:val="18"/>
              </w:rPr>
              <w:t>Se elabora la respuesta fundamentada en la normatividad y en los hallazgos del análisis. Se define si hay acciones correctivas.</w:t>
            </w:r>
          </w:p>
        </w:tc>
      </w:tr>
      <w:tr>
        <w:tc>
          <w:tcPr>
            <w:tcW w:type="dxa" w:w="4561"/>
            <w:shd w:val="clear" w:color="auto" w:fill="EBF3FB"/>
          </w:tcPr>
          <w:p>
            <w:r>
              <w:rPr>
                <w:rFonts w:ascii="Calibri" w:hAnsi="Calibri"/>
                <w:sz w:val="18"/>
              </w:rPr>
              <w:t>6. RESPUESTA AL USUARIO</w:t>
            </w:r>
          </w:p>
        </w:tc>
        <w:tc>
          <w:tcPr>
            <w:tcW w:type="dxa" w:w="4561"/>
          </w:tcPr>
          <w:p>
            <w:r>
              <w:rPr>
                <w:rFonts w:ascii="Calibri" w:hAnsi="Calibri"/>
                <w:sz w:val="18"/>
              </w:rPr>
              <w:t>Se comunica la respuesta al usuario dentro del tiempo establecido, por el canal que eligió o por escrito. Se informa sobre las acciones de mejora tomadas.</w:t>
            </w:r>
          </w:p>
        </w:tc>
      </w:tr>
      <w:tr>
        <w:tc>
          <w:tcPr>
            <w:tcW w:type="dxa" w:w="4561"/>
            <w:shd w:val="clear" w:color="auto" w:fill="BDD7EE"/>
          </w:tcPr>
          <w:p>
            <w:r>
              <w:rPr>
                <w:rFonts w:ascii="Calibri" w:hAnsi="Calibri"/>
                <w:sz w:val="18"/>
              </w:rPr>
              <w:t>7. CIERRE Y SEGUIMIENTO</w:t>
            </w:r>
          </w:p>
        </w:tc>
        <w:tc>
          <w:tcPr>
            <w:tcW w:type="dxa" w:w="4561"/>
          </w:tcPr>
          <w:p>
            <w:r>
              <w:rPr>
                <w:rFonts w:ascii="Calibri" w:hAnsi="Calibri"/>
                <w:sz w:val="18"/>
              </w:rPr>
              <w:t>Se cierra el caso en el registro. Si se generaron acciones correctivas, se hace seguimiento a su implementación. Se consolidan las PQRS para análisis de tendencias.</w:t>
            </w:r>
          </w:p>
        </w:tc>
      </w:tr>
    </w:tbl>
    <w:p/>
    <w:p>
      <w:pPr>
        <w:spacing w:before="200" w:after="80"/>
      </w:pPr>
      <w:r>
        <w:rPr>
          <w:rFonts w:ascii="Calibri" w:hAnsi="Calibri"/>
          <w:b/>
          <w:color w:val="003366"/>
          <w:sz w:val="28"/>
        </w:rPr>
        <w:t>9. FORMATO DE REGISTRO DE PQRS</w:t>
      </w:r>
    </w:p>
    <w:p>
      <w:pPr>
        <w:spacing w:after="80"/>
      </w:pPr>
      <w:r>
        <w:rPr>
          <w:rFonts w:ascii="Calibri" w:hAnsi="Calibri"/>
          <w:sz w:val="22"/>
        </w:rPr>
        <w:t>Cada PQRS debe registrarse en el formato FOR-GC-003-01, que contiene los siguientes campos: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  <w:shd w:val="clear" w:color="auto" w:fill="00336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Campo</w:t>
            </w:r>
          </w:p>
        </w:tc>
        <w:tc>
          <w:tcPr>
            <w:tcW w:type="dxa" w:w="4561"/>
            <w:shd w:val="clear" w:color="auto" w:fill="00336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Descripción / Instrucción de Diligenciamiento</w:t>
            </w:r>
          </w:p>
        </w:tc>
      </w:tr>
      <w:tr>
        <w:tc>
          <w:tcPr>
            <w:tcW w:type="dxa" w:w="4561"/>
            <w:shd w:val="clear" w:color="auto" w:fill="EBF3FB"/>
          </w:tcPr>
          <w:p>
            <w:r>
              <w:rPr>
                <w:rFonts w:ascii="Calibri" w:hAnsi="Calibri"/>
                <w:sz w:val="20"/>
              </w:rPr>
              <w:t>N° de Radicado</w:t>
            </w:r>
          </w:p>
        </w:tc>
        <w:tc>
          <w:tcPr>
            <w:tcW w:type="dxa" w:w="4561"/>
          </w:tcPr>
          <w:p>
            <w:r>
              <w:rPr>
                <w:rFonts w:ascii="Calibri" w:hAnsi="Calibri"/>
                <w:sz w:val="20"/>
              </w:rPr>
              <w:t>Número consecutivo asignado automáticamente o manualmente</w:t>
            </w:r>
          </w:p>
        </w:tc>
      </w:tr>
      <w:tr>
        <w:tc>
          <w:tcPr>
            <w:tcW w:type="dxa" w:w="4561"/>
            <w:shd w:val="clear" w:color="auto" w:fill="EBF3FB"/>
          </w:tcPr>
          <w:p>
            <w:r>
              <w:rPr>
                <w:rFonts w:ascii="Calibri" w:hAnsi="Calibri"/>
                <w:sz w:val="20"/>
              </w:rPr>
              <w:t>Fecha y hora de recepción</w:t>
            </w:r>
          </w:p>
        </w:tc>
        <w:tc>
          <w:tcPr>
            <w:tcW w:type="dxa" w:w="4561"/>
          </w:tcPr>
          <w:p>
            <w:r>
              <w:rPr>
                <w:rFonts w:ascii="Calibri" w:hAnsi="Calibri"/>
                <w:sz w:val="20"/>
              </w:rPr>
              <w:t>DD/MM/AAAA HH:MM</w:t>
            </w:r>
          </w:p>
        </w:tc>
      </w:tr>
      <w:tr>
        <w:tc>
          <w:tcPr>
            <w:tcW w:type="dxa" w:w="4561"/>
            <w:shd w:val="clear" w:color="auto" w:fill="EBF3FB"/>
          </w:tcPr>
          <w:p>
            <w:r>
              <w:rPr>
                <w:rFonts w:ascii="Calibri" w:hAnsi="Calibri"/>
                <w:sz w:val="20"/>
              </w:rPr>
              <w:t>Canal de recepción</w:t>
            </w:r>
          </w:p>
        </w:tc>
        <w:tc>
          <w:tcPr>
            <w:tcW w:type="dxa" w:w="4561"/>
          </w:tcPr>
          <w:p>
            <w:r>
              <w:rPr>
                <w:rFonts w:ascii="Calibri" w:hAnsi="Calibri"/>
                <w:sz w:val="20"/>
              </w:rPr>
              <w:t>Presencial / Telefónico / Correo / WhatsApp / Formulario</w:t>
            </w:r>
          </w:p>
        </w:tc>
      </w:tr>
      <w:tr>
        <w:tc>
          <w:tcPr>
            <w:tcW w:type="dxa" w:w="4561"/>
            <w:shd w:val="clear" w:color="auto" w:fill="EBF3FB"/>
          </w:tcPr>
          <w:p>
            <w:r>
              <w:rPr>
                <w:rFonts w:ascii="Calibri" w:hAnsi="Calibri"/>
                <w:sz w:val="20"/>
              </w:rPr>
              <w:t>Tipo de PQRS</w:t>
            </w:r>
          </w:p>
        </w:tc>
        <w:tc>
          <w:tcPr>
            <w:tcW w:type="dxa" w:w="4561"/>
          </w:tcPr>
          <w:p>
            <w:r>
              <w:rPr>
                <w:rFonts w:ascii="Calibri" w:hAnsi="Calibri"/>
                <w:sz w:val="20"/>
              </w:rPr>
              <w:t>Petición / Queja / Reclamo / Sugerencia</w:t>
            </w:r>
          </w:p>
        </w:tc>
      </w:tr>
      <w:tr>
        <w:tc>
          <w:tcPr>
            <w:tcW w:type="dxa" w:w="4561"/>
            <w:shd w:val="clear" w:color="auto" w:fill="EBF3FB"/>
          </w:tcPr>
          <w:p>
            <w:r>
              <w:rPr>
                <w:rFonts w:ascii="Calibri" w:hAnsi="Calibri"/>
                <w:sz w:val="20"/>
              </w:rPr>
              <w:t>Datos del usuario</w:t>
            </w:r>
          </w:p>
        </w:tc>
        <w:tc>
          <w:tcPr>
            <w:tcW w:type="dxa" w:w="4561"/>
          </w:tcPr>
          <w:p>
            <w:r>
              <w:rPr>
                <w:rFonts w:ascii="Calibri" w:hAnsi="Calibri"/>
                <w:sz w:val="20"/>
              </w:rPr>
              <w:t>Nombre completo, tipo y número de documento, teléfono, correo electrónico</w:t>
            </w:r>
          </w:p>
        </w:tc>
      </w:tr>
      <w:tr>
        <w:tc>
          <w:tcPr>
            <w:tcW w:type="dxa" w:w="4561"/>
            <w:shd w:val="clear" w:color="auto" w:fill="EBF3FB"/>
          </w:tcPr>
          <w:p>
            <w:r>
              <w:rPr>
                <w:rFonts w:ascii="Calibri" w:hAnsi="Calibri"/>
                <w:sz w:val="20"/>
              </w:rPr>
              <w:t>Descripción detallada</w:t>
            </w:r>
          </w:p>
        </w:tc>
        <w:tc>
          <w:tcPr>
            <w:tcW w:type="dxa" w:w="4561"/>
          </w:tcPr>
          <w:p>
            <w:r>
              <w:rPr>
                <w:rFonts w:ascii="Calibri" w:hAnsi="Calibri"/>
                <w:sz w:val="20"/>
              </w:rPr>
              <w:t>Narración completa de la PQRS en palabras del usuario</w:t>
            </w:r>
          </w:p>
        </w:tc>
      </w:tr>
      <w:tr>
        <w:tc>
          <w:tcPr>
            <w:tcW w:type="dxa" w:w="4561"/>
            <w:shd w:val="clear" w:color="auto" w:fill="EBF3FB"/>
          </w:tcPr>
          <w:p>
            <w:r>
              <w:rPr>
                <w:rFonts w:ascii="Calibri" w:hAnsi="Calibri"/>
                <w:sz w:val="20"/>
              </w:rPr>
              <w:t>Servicio o área involucrada</w:t>
            </w:r>
          </w:p>
        </w:tc>
        <w:tc>
          <w:tcPr>
            <w:tcW w:type="dxa" w:w="4561"/>
          </w:tcPr>
          <w:p>
            <w:r>
              <w:rPr>
                <w:rFonts w:ascii="Calibri" w:hAnsi="Calibri"/>
                <w:sz w:val="20"/>
              </w:rPr>
              <w:t>Área o proceso relacionado con la PQRS</w:t>
            </w:r>
          </w:p>
        </w:tc>
      </w:tr>
      <w:tr>
        <w:tc>
          <w:tcPr>
            <w:tcW w:type="dxa" w:w="4561"/>
            <w:shd w:val="clear" w:color="auto" w:fill="EBF3FB"/>
          </w:tcPr>
          <w:p>
            <w:r>
              <w:rPr>
                <w:rFonts w:ascii="Calibri" w:hAnsi="Calibri"/>
                <w:sz w:val="20"/>
              </w:rPr>
              <w:t>Responsable asignado</w:t>
            </w:r>
          </w:p>
        </w:tc>
        <w:tc>
          <w:tcPr>
            <w:tcW w:type="dxa" w:w="4561"/>
          </w:tcPr>
          <w:p>
            <w:r>
              <w:rPr>
                <w:rFonts w:ascii="Calibri" w:hAnsi="Calibri"/>
                <w:sz w:val="20"/>
              </w:rPr>
              <w:t>Nombre de quien atenderá la PQRS</w:t>
            </w:r>
          </w:p>
        </w:tc>
      </w:tr>
      <w:tr>
        <w:tc>
          <w:tcPr>
            <w:tcW w:type="dxa" w:w="4561"/>
            <w:shd w:val="clear" w:color="auto" w:fill="EBF3FB"/>
          </w:tcPr>
          <w:p>
            <w:r>
              <w:rPr>
                <w:rFonts w:ascii="Calibri" w:hAnsi="Calibri"/>
                <w:sz w:val="20"/>
              </w:rPr>
              <w:t>Fecha límite de respuesta</w:t>
            </w:r>
          </w:p>
        </w:tc>
        <w:tc>
          <w:tcPr>
            <w:tcW w:type="dxa" w:w="4561"/>
          </w:tcPr>
          <w:p>
            <w:r>
              <w:rPr>
                <w:rFonts w:ascii="Calibri" w:hAnsi="Calibri"/>
                <w:sz w:val="20"/>
              </w:rPr>
              <w:t>Calculada según tipo de PQRS</w:t>
            </w:r>
          </w:p>
        </w:tc>
      </w:tr>
      <w:tr>
        <w:tc>
          <w:tcPr>
            <w:tcW w:type="dxa" w:w="4561"/>
            <w:shd w:val="clear" w:color="auto" w:fill="EBF3FB"/>
          </w:tcPr>
          <w:p>
            <w:r>
              <w:rPr>
                <w:rFonts w:ascii="Calibri" w:hAnsi="Calibri"/>
                <w:sz w:val="20"/>
              </w:rPr>
              <w:t>Análisis y causa raíz</w:t>
            </w:r>
          </w:p>
        </w:tc>
        <w:tc>
          <w:tcPr>
            <w:tcW w:type="dxa" w:w="4561"/>
          </w:tcPr>
          <w:p>
            <w:r>
              <w:rPr>
                <w:rFonts w:ascii="Calibri" w:hAnsi="Calibri"/>
                <w:sz w:val="20"/>
              </w:rPr>
              <w:t>Hallazgos del análisis</w:t>
            </w:r>
          </w:p>
        </w:tc>
      </w:tr>
      <w:tr>
        <w:tc>
          <w:tcPr>
            <w:tcW w:type="dxa" w:w="4561"/>
            <w:shd w:val="clear" w:color="auto" w:fill="EBF3FB"/>
          </w:tcPr>
          <w:p>
            <w:r>
              <w:rPr>
                <w:rFonts w:ascii="Calibri" w:hAnsi="Calibri"/>
                <w:sz w:val="20"/>
              </w:rPr>
              <w:t>Acciones de mejora tomadas</w:t>
            </w:r>
          </w:p>
        </w:tc>
        <w:tc>
          <w:tcPr>
            <w:tcW w:type="dxa" w:w="4561"/>
          </w:tcPr>
          <w:p>
            <w:r>
              <w:rPr>
                <w:rFonts w:ascii="Calibri" w:hAnsi="Calibri"/>
                <w:sz w:val="20"/>
              </w:rPr>
              <w:t>Descripción de las acciones correctivas o preventivas</w:t>
            </w:r>
          </w:p>
        </w:tc>
      </w:tr>
      <w:tr>
        <w:tc>
          <w:tcPr>
            <w:tcW w:type="dxa" w:w="4561"/>
            <w:shd w:val="clear" w:color="auto" w:fill="EBF3FB"/>
          </w:tcPr>
          <w:p>
            <w:r>
              <w:rPr>
                <w:rFonts w:ascii="Calibri" w:hAnsi="Calibri"/>
                <w:sz w:val="20"/>
              </w:rPr>
              <w:t>Respuesta al usuario</w:t>
            </w:r>
          </w:p>
        </w:tc>
        <w:tc>
          <w:tcPr>
            <w:tcW w:type="dxa" w:w="4561"/>
          </w:tcPr>
          <w:p>
            <w:r>
              <w:rPr>
                <w:rFonts w:ascii="Calibri" w:hAnsi="Calibri"/>
                <w:sz w:val="20"/>
              </w:rPr>
              <w:t>Resumen de la respuesta enviada al usuario</w:t>
            </w:r>
          </w:p>
        </w:tc>
      </w:tr>
    </w:tbl>
    <w:p/>
    <w:p>
      <w:pPr>
        <w:spacing w:before="200" w:after="80"/>
      </w:pPr>
      <w:r>
        <w:rPr>
          <w:rFonts w:ascii="Calibri" w:hAnsi="Calibri"/>
          <w:b/>
          <w:color w:val="003366"/>
          <w:sz w:val="28"/>
        </w:rPr>
        <w:t>10. ANÁLISIS DE CAUSAS</w:t>
      </w:r>
    </w:p>
    <w:p>
      <w:pPr>
        <w:spacing w:before="200" w:after="80"/>
      </w:pPr>
      <w:r>
        <w:rPr>
          <w:rFonts w:ascii="Calibri" w:hAnsi="Calibri"/>
          <w:b/>
          <w:color w:val="003366"/>
          <w:sz w:val="24"/>
        </w:rPr>
        <w:t>10.1 Técnica de los 5 ¿Por Qué?</w:t>
      </w:r>
    </w:p>
    <w:p>
      <w:pPr>
        <w:spacing w:after="80"/>
      </w:pPr>
      <w:r>
        <w:rPr>
          <w:rFonts w:ascii="Calibri" w:hAnsi="Calibri"/>
          <w:sz w:val="22"/>
        </w:rPr>
        <w:t>La técnica de los 5 ¿Por Qué? consiste en preguntarse sucesivamente '¿por qué?' ante cada respuesta obtenida, hasta llegar a la causa raíz del problema. Ejemplo aplicado: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  <w:shd w:val="clear" w:color="auto" w:fill="00336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Pregunta</w:t>
            </w:r>
          </w:p>
        </w:tc>
        <w:tc>
          <w:tcPr>
            <w:tcW w:type="dxa" w:w="4561"/>
            <w:shd w:val="clear" w:color="auto" w:fill="00336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Respuesta (Ejemplo)</w:t>
            </w:r>
          </w:p>
        </w:tc>
      </w:tr>
      <w:tr>
        <w:tc>
          <w:tcPr>
            <w:tcW w:type="dxa" w:w="4561"/>
            <w:shd w:val="clear" w:color="auto" w:fill="BDD7EE"/>
          </w:tcPr>
          <w:p>
            <w:r>
              <w:rPr>
                <w:rFonts w:ascii="Calibri" w:hAnsi="Calibri"/>
                <w:sz w:val="20"/>
              </w:rPr>
              <w:t>¿Por qué el usuario se quejó?</w:t>
            </w:r>
          </w:p>
        </w:tc>
        <w:tc>
          <w:tcPr>
            <w:tcW w:type="dxa" w:w="4561"/>
          </w:tcPr>
          <w:p>
            <w:r>
              <w:rPr>
                <w:rFonts w:ascii="Calibri" w:hAnsi="Calibri"/>
                <w:sz w:val="20"/>
              </w:rPr>
              <w:t>Por tiempo de espera excesivo para ser atendido</w:t>
            </w:r>
          </w:p>
        </w:tc>
      </w:tr>
      <w:tr>
        <w:tc>
          <w:tcPr>
            <w:tcW w:type="dxa" w:w="4561"/>
            <w:shd w:val="clear" w:color="auto" w:fill="BDD7EE"/>
          </w:tcPr>
          <w:p>
            <w:r>
              <w:rPr>
                <w:rFonts w:ascii="Calibri" w:hAnsi="Calibri"/>
                <w:sz w:val="20"/>
              </w:rPr>
              <w:t>¿Por qué hubo tiempo de espera excesivo?</w:t>
            </w:r>
          </w:p>
        </w:tc>
        <w:tc>
          <w:tcPr>
            <w:tcW w:type="dxa" w:w="4561"/>
          </w:tcPr>
          <w:p>
            <w:r>
              <w:rPr>
                <w:rFonts w:ascii="Calibri" w:hAnsi="Calibri"/>
                <w:sz w:val="20"/>
              </w:rPr>
              <w:t>Porque las citas no estaban bien distribuidas en la agenda</w:t>
            </w:r>
          </w:p>
        </w:tc>
      </w:tr>
      <w:tr>
        <w:tc>
          <w:tcPr>
            <w:tcW w:type="dxa" w:w="4561"/>
            <w:shd w:val="clear" w:color="auto" w:fill="BDD7EE"/>
          </w:tcPr>
          <w:p>
            <w:r>
              <w:rPr>
                <w:rFonts w:ascii="Calibri" w:hAnsi="Calibri"/>
                <w:sz w:val="20"/>
              </w:rPr>
              <w:t>¿Por qué las citas no estaban bien distribuidas?</w:t>
            </w:r>
          </w:p>
        </w:tc>
        <w:tc>
          <w:tcPr>
            <w:tcW w:type="dxa" w:w="4561"/>
          </w:tcPr>
          <w:p>
            <w:r>
              <w:rPr>
                <w:rFonts w:ascii="Calibri" w:hAnsi="Calibri"/>
                <w:sz w:val="20"/>
              </w:rPr>
              <w:t>Porque no se tiene en cuenta el tiempo real de cada tipo de consulta</w:t>
            </w:r>
          </w:p>
        </w:tc>
      </w:tr>
      <w:tr>
        <w:tc>
          <w:tcPr>
            <w:tcW w:type="dxa" w:w="4561"/>
            <w:shd w:val="clear" w:color="auto" w:fill="BDD7EE"/>
          </w:tcPr>
          <w:p>
            <w:r>
              <w:rPr>
                <w:rFonts w:ascii="Calibri" w:hAnsi="Calibri"/>
                <w:sz w:val="20"/>
              </w:rPr>
              <w:t>¿Por qué no se tiene en cuenta el tiempo real?</w:t>
            </w:r>
          </w:p>
        </w:tc>
        <w:tc>
          <w:tcPr>
            <w:tcW w:type="dxa" w:w="4561"/>
          </w:tcPr>
          <w:p>
            <w:r>
              <w:rPr>
                <w:rFonts w:ascii="Calibri" w:hAnsi="Calibri"/>
                <w:sz w:val="20"/>
              </w:rPr>
              <w:t>Porque no hay tiempos estándar definidos por tipo de consulta</w:t>
            </w:r>
          </w:p>
        </w:tc>
      </w:tr>
      <w:tr>
        <w:tc>
          <w:tcPr>
            <w:tcW w:type="dxa" w:w="4561"/>
            <w:shd w:val="clear" w:color="auto" w:fill="BDD7EE"/>
          </w:tcPr>
          <w:p>
            <w:r>
              <w:rPr>
                <w:rFonts w:ascii="Calibri" w:hAnsi="Calibri"/>
                <w:sz w:val="20"/>
              </w:rPr>
              <w:t>¿Por qué no hay tiempos estándar definidos?</w:t>
            </w:r>
          </w:p>
        </w:tc>
        <w:tc>
          <w:tcPr>
            <w:tcW w:type="dxa" w:w="4561"/>
          </w:tcPr>
          <w:p>
            <w:r>
              <w:rPr>
                <w:rFonts w:ascii="Calibri" w:hAnsi="Calibri"/>
                <w:sz w:val="20"/>
              </w:rPr>
              <w:t>Porque nunca se ha realizado un análisis del tiempo de atención (CAUSA RAÍZ)</w:t>
            </w:r>
          </w:p>
        </w:tc>
      </w:tr>
    </w:tbl>
    <w:p/>
    <w:p>
      <w:pPr>
        <w:spacing w:before="200" w:after="80"/>
      </w:pPr>
      <w:r>
        <w:rPr>
          <w:rFonts w:ascii="Calibri" w:hAnsi="Calibri"/>
          <w:b/>
          <w:color w:val="003366"/>
          <w:sz w:val="24"/>
        </w:rPr>
        <w:t>10.2 Espina de Pescado (Ishikawa)</w:t>
      </w:r>
    </w:p>
    <w:p>
      <w:pPr>
        <w:spacing w:after="80"/>
      </w:pPr>
      <w:r>
        <w:rPr>
          <w:rFonts w:ascii="Calibri" w:hAnsi="Calibri"/>
          <w:sz w:val="22"/>
        </w:rPr>
        <w:t>El diagrama de causa-efecto (espina de pescado) identifica las causas desde 6 categorías (6M): Método, Mano de obra, Maquinaria/Equipo, Materiales, Medición y Medio ambiente. Para cada queja o reclamo de mayor impacto, se aplica este análisis: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  <w:shd w:val="clear" w:color="auto" w:fill="00336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Categoría (6M)</w:t>
            </w:r>
          </w:p>
        </w:tc>
        <w:tc>
          <w:tcPr>
            <w:tcW w:type="dxa" w:w="4561"/>
            <w:shd w:val="clear" w:color="auto" w:fill="00336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Posibles Causas a Investigar</w:t>
            </w:r>
          </w:p>
        </w:tc>
      </w:tr>
      <w:tr>
        <w:tc>
          <w:tcPr>
            <w:tcW w:type="dxa" w:w="4561"/>
            <w:shd w:val="clear" w:color="auto" w:fill="EBF3FB"/>
          </w:tcPr>
          <w:p>
            <w:r>
              <w:rPr>
                <w:rFonts w:ascii="Calibri" w:hAnsi="Calibri"/>
                <w:sz w:val="20"/>
              </w:rPr>
              <w:t>Método</w:t>
            </w:r>
          </w:p>
        </w:tc>
        <w:tc>
          <w:tcPr>
            <w:tcW w:type="dxa" w:w="4561"/>
          </w:tcPr>
          <w:p>
            <w:r>
              <w:rPr>
                <w:rFonts w:ascii="Calibri" w:hAnsi="Calibri"/>
                <w:sz w:val="20"/>
              </w:rPr>
              <w:t>Procesos no estandarizados, ausencia de protocolos, procedimientos inadecuados</w:t>
            </w:r>
          </w:p>
        </w:tc>
      </w:tr>
      <w:tr>
        <w:tc>
          <w:tcPr>
            <w:tcW w:type="dxa" w:w="4561"/>
            <w:shd w:val="clear" w:color="auto" w:fill="EBF3FB"/>
          </w:tcPr>
          <w:p>
            <w:r>
              <w:rPr>
                <w:rFonts w:ascii="Calibri" w:hAnsi="Calibri"/>
                <w:sz w:val="20"/>
              </w:rPr>
              <w:t>Mano de obra</w:t>
            </w:r>
          </w:p>
        </w:tc>
        <w:tc>
          <w:tcPr>
            <w:tcW w:type="dxa" w:w="4561"/>
          </w:tcPr>
          <w:p>
            <w:r>
              <w:rPr>
                <w:rFonts w:ascii="Calibri" w:hAnsi="Calibri"/>
                <w:sz w:val="20"/>
              </w:rPr>
              <w:t>Falta de capacitación, desmotivación, comunicación deficiente con el usuario</w:t>
            </w:r>
          </w:p>
        </w:tc>
      </w:tr>
      <w:tr>
        <w:tc>
          <w:tcPr>
            <w:tcW w:type="dxa" w:w="4561"/>
            <w:shd w:val="clear" w:color="auto" w:fill="EBF3FB"/>
          </w:tcPr>
          <w:p>
            <w:r>
              <w:rPr>
                <w:rFonts w:ascii="Calibri" w:hAnsi="Calibri"/>
                <w:sz w:val="20"/>
              </w:rPr>
              <w:t>Maquinaria/Equipo</w:t>
            </w:r>
          </w:p>
        </w:tc>
        <w:tc>
          <w:tcPr>
            <w:tcW w:type="dxa" w:w="4561"/>
          </w:tcPr>
          <w:p>
            <w:r>
              <w:rPr>
                <w:rFonts w:ascii="Calibri" w:hAnsi="Calibri"/>
                <w:sz w:val="20"/>
              </w:rPr>
              <w:t>Equipos defectuosos, falta de mantenimiento, tecnología inadecuada</w:t>
            </w:r>
          </w:p>
        </w:tc>
      </w:tr>
      <w:tr>
        <w:tc>
          <w:tcPr>
            <w:tcW w:type="dxa" w:w="4561"/>
            <w:shd w:val="clear" w:color="auto" w:fill="EBF3FB"/>
          </w:tcPr>
          <w:p>
            <w:r>
              <w:rPr>
                <w:rFonts w:ascii="Calibri" w:hAnsi="Calibri"/>
                <w:sz w:val="20"/>
              </w:rPr>
              <w:t>Materiales</w:t>
            </w:r>
          </w:p>
        </w:tc>
        <w:tc>
          <w:tcPr>
            <w:tcW w:type="dxa" w:w="4561"/>
          </w:tcPr>
          <w:p>
            <w:r>
              <w:rPr>
                <w:rFonts w:ascii="Calibri" w:hAnsi="Calibri"/>
                <w:sz w:val="20"/>
              </w:rPr>
              <w:t>Insumos de baja calidad, falta de materiales, productos no apropiados</w:t>
            </w:r>
          </w:p>
        </w:tc>
      </w:tr>
      <w:tr>
        <w:tc>
          <w:tcPr>
            <w:tcW w:type="dxa" w:w="4561"/>
            <w:shd w:val="clear" w:color="auto" w:fill="EBF3FB"/>
          </w:tcPr>
          <w:p>
            <w:r>
              <w:rPr>
                <w:rFonts w:ascii="Calibri" w:hAnsi="Calibri"/>
                <w:sz w:val="20"/>
              </w:rPr>
              <w:t>Medición</w:t>
            </w:r>
          </w:p>
        </w:tc>
        <w:tc>
          <w:tcPr>
            <w:tcW w:type="dxa" w:w="4561"/>
          </w:tcPr>
          <w:p>
            <w:r>
              <w:rPr>
                <w:rFonts w:ascii="Calibri" w:hAnsi="Calibri"/>
                <w:sz w:val="20"/>
              </w:rPr>
              <w:t>Falta de monitoreo, indicadores no definidos, ausencia de seguimiento</w:t>
            </w:r>
          </w:p>
        </w:tc>
      </w:tr>
      <w:tr>
        <w:tc>
          <w:tcPr>
            <w:tcW w:type="dxa" w:w="4561"/>
            <w:shd w:val="clear" w:color="auto" w:fill="EBF3FB"/>
          </w:tcPr>
          <w:p>
            <w:r>
              <w:rPr>
                <w:rFonts w:ascii="Calibri" w:hAnsi="Calibri"/>
                <w:sz w:val="20"/>
              </w:rPr>
              <w:t>Medio ambiente</w:t>
            </w:r>
          </w:p>
        </w:tc>
        <w:tc>
          <w:tcPr>
            <w:tcW w:type="dxa" w:w="4561"/>
          </w:tcPr>
          <w:p>
            <w:r>
              <w:rPr>
                <w:rFonts w:ascii="Calibri" w:hAnsi="Calibri"/>
                <w:sz w:val="20"/>
              </w:rPr>
              <w:t>Infraestructura inadecuada, ruido, falta de privacidad, condiciones incómodas</w:t>
            </w:r>
          </w:p>
        </w:tc>
      </w:tr>
    </w:tbl>
    <w:p/>
    <w:p>
      <w:pPr>
        <w:spacing w:before="200" w:after="80"/>
      </w:pPr>
      <w:r>
        <w:rPr>
          <w:rFonts w:ascii="Calibri" w:hAnsi="Calibri"/>
          <w:b/>
          <w:color w:val="003366"/>
          <w:sz w:val="28"/>
        </w:rPr>
        <w:t>11. ACCIONES DE MEJORA</w:t>
      </w:r>
    </w:p>
    <w:p>
      <w:pPr>
        <w:spacing w:after="80"/>
      </w:pPr>
      <w:r>
        <w:rPr>
          <w:rFonts w:ascii="Calibri" w:hAnsi="Calibri"/>
          <w:sz w:val="22"/>
        </w:rPr>
        <w:t>Cada PQRS que identifique un problema en la calidad del servicio debe generar acciones de mejora. Estas se incorporan al plan de mejoramiento del PAMEC.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20"/>
        <w:gridCol w:w="1520"/>
        <w:gridCol w:w="1520"/>
        <w:gridCol w:w="1520"/>
        <w:gridCol w:w="1520"/>
        <w:gridCol w:w="1520"/>
      </w:tblGrid>
      <w:tr>
        <w:tc>
          <w:tcPr>
            <w:tcW w:type="dxa" w:w="1520"/>
            <w:shd w:val="clear" w:color="auto" w:fill="00336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N°</w:t>
            </w:r>
          </w:p>
        </w:tc>
        <w:tc>
          <w:tcPr>
            <w:tcW w:type="dxa" w:w="1520"/>
            <w:shd w:val="clear" w:color="auto" w:fill="00336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PQRS Relacionada</w:t>
            </w:r>
          </w:p>
        </w:tc>
        <w:tc>
          <w:tcPr>
            <w:tcW w:type="dxa" w:w="1520"/>
            <w:shd w:val="clear" w:color="auto" w:fill="00336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Causa Raíz Identificada</w:t>
            </w:r>
          </w:p>
        </w:tc>
        <w:tc>
          <w:tcPr>
            <w:tcW w:type="dxa" w:w="1520"/>
            <w:shd w:val="clear" w:color="auto" w:fill="00336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Acción de Mejora</w:t>
            </w:r>
          </w:p>
        </w:tc>
        <w:tc>
          <w:tcPr>
            <w:tcW w:type="dxa" w:w="1520"/>
            <w:shd w:val="clear" w:color="auto" w:fill="00336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Responsable</w:t>
            </w:r>
          </w:p>
        </w:tc>
        <w:tc>
          <w:tcPr>
            <w:tcW w:type="dxa" w:w="1520"/>
            <w:shd w:val="clear" w:color="auto" w:fill="00336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Fecha Compromiso</w:t>
            </w:r>
          </w:p>
        </w:tc>
      </w:tr>
      <w:tr>
        <w:tc>
          <w:tcPr>
            <w:tcW w:type="dxa" w:w="1520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1520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1520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1520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1520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1520"/>
          </w:tcPr>
          <w:p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1520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1520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1520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1520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1520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1520"/>
          </w:tcPr>
          <w:p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1520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1520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1520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1520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1520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1520"/>
          </w:tcPr>
          <w:p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1520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1520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1520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1520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1520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1520"/>
          </w:tcPr>
          <w:p>
            <w:r>
              <w:rPr>
                <w:rFonts w:ascii="Calibri" w:hAnsi="Calibri"/>
                <w:sz w:val="20"/>
              </w:rPr>
            </w:r>
          </w:p>
        </w:tc>
      </w:tr>
    </w:tbl>
    <w:p/>
    <w:p>
      <w:pPr>
        <w:spacing w:before="200" w:after="80"/>
      </w:pPr>
      <w:r>
        <w:rPr>
          <w:rFonts w:ascii="Calibri" w:hAnsi="Calibri"/>
          <w:b/>
          <w:color w:val="003366"/>
          <w:sz w:val="28"/>
        </w:rPr>
        <w:t>12. INDICADORES DE SATISFACCIÓN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24"/>
        <w:gridCol w:w="1824"/>
        <w:gridCol w:w="1824"/>
        <w:gridCol w:w="1824"/>
        <w:gridCol w:w="1824"/>
      </w:tblGrid>
      <w:tr>
        <w:tc>
          <w:tcPr>
            <w:tcW w:type="dxa" w:w="1824"/>
            <w:shd w:val="clear" w:color="auto" w:fill="00336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Indicador</w:t>
            </w:r>
          </w:p>
        </w:tc>
        <w:tc>
          <w:tcPr>
            <w:tcW w:type="dxa" w:w="1824"/>
            <w:shd w:val="clear" w:color="auto" w:fill="00336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Fórmula</w:t>
            </w:r>
          </w:p>
        </w:tc>
        <w:tc>
          <w:tcPr>
            <w:tcW w:type="dxa" w:w="1824"/>
            <w:shd w:val="clear" w:color="auto" w:fill="00336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Meta</w:t>
            </w:r>
          </w:p>
        </w:tc>
        <w:tc>
          <w:tcPr>
            <w:tcW w:type="dxa" w:w="1824"/>
            <w:shd w:val="clear" w:color="auto" w:fill="00336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Periodicidad</w:t>
            </w:r>
          </w:p>
        </w:tc>
        <w:tc>
          <w:tcPr>
            <w:tcW w:type="dxa" w:w="1824"/>
            <w:shd w:val="clear" w:color="auto" w:fill="00336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Fuente</w:t>
            </w:r>
          </w:p>
        </w:tc>
      </w:tr>
      <w:tr>
        <w:tc>
          <w:tcPr>
            <w:tcW w:type="dxa" w:w="1824"/>
            <w:shd w:val="clear" w:color="auto" w:fill="EBF3FB"/>
          </w:tcPr>
          <w:p>
            <w:r>
              <w:rPr>
                <w:rFonts w:ascii="Calibri" w:hAnsi="Calibri"/>
                <w:sz w:val="18"/>
              </w:rPr>
              <w:t>Índice de satisfacción global</w:t>
            </w:r>
          </w:p>
        </w:tc>
        <w:tc>
          <w:tcPr>
            <w:tcW w:type="dxa" w:w="1824"/>
            <w:shd w:val="clear" w:color="auto" w:fill="EBF3FB"/>
          </w:tcPr>
          <w:p>
            <w:r>
              <w:rPr>
                <w:rFonts w:ascii="Calibri" w:hAnsi="Calibri"/>
                <w:sz w:val="18"/>
              </w:rPr>
              <w:t>Usuarios satisfechos / Total encuestados x 100</w:t>
            </w:r>
          </w:p>
        </w:tc>
        <w:tc>
          <w:tcPr>
            <w:tcW w:type="dxa" w:w="1824"/>
            <w:shd w:val="clear" w:color="auto" w:fill="EBF3FB"/>
          </w:tcPr>
          <w:p>
            <w:r>
              <w:rPr>
                <w:rFonts w:ascii="Calibri" w:hAnsi="Calibri"/>
                <w:sz w:val="18"/>
              </w:rPr>
              <w:t>≥ 90%</w:t>
            </w:r>
          </w:p>
        </w:tc>
        <w:tc>
          <w:tcPr>
            <w:tcW w:type="dxa" w:w="1824"/>
            <w:shd w:val="clear" w:color="auto" w:fill="EBF3FB"/>
          </w:tcPr>
          <w:p>
            <w:r>
              <w:rPr>
                <w:rFonts w:ascii="Calibri" w:hAnsi="Calibri"/>
                <w:sz w:val="18"/>
              </w:rPr>
              <w:t>Trimestral</w:t>
            </w:r>
          </w:p>
        </w:tc>
        <w:tc>
          <w:tcPr>
            <w:tcW w:type="dxa" w:w="1824"/>
            <w:shd w:val="clear" w:color="auto" w:fill="EBF3FB"/>
          </w:tcPr>
          <w:p>
            <w:r>
              <w:rPr>
                <w:rFonts w:ascii="Calibri" w:hAnsi="Calibri"/>
                <w:sz w:val="18"/>
              </w:rPr>
              <w:t>Encuesta de satisfacción</w:t>
            </w:r>
          </w:p>
        </w:tc>
      </w:tr>
      <w:tr>
        <w:tc>
          <w:tcPr>
            <w:tcW w:type="dxa" w:w="1824"/>
          </w:tcPr>
          <w:p>
            <w:r>
              <w:rPr>
                <w:rFonts w:ascii="Calibri" w:hAnsi="Calibri"/>
                <w:sz w:val="18"/>
              </w:rPr>
              <w:t>Tasa de PQRS</w:t>
            </w:r>
          </w:p>
        </w:tc>
        <w:tc>
          <w:tcPr>
            <w:tcW w:type="dxa" w:w="1824"/>
          </w:tcPr>
          <w:p>
            <w:r>
              <w:rPr>
                <w:rFonts w:ascii="Calibri" w:hAnsi="Calibri"/>
                <w:sz w:val="18"/>
              </w:rPr>
              <w:t>N° PQRS / Total consultas x 100</w:t>
            </w:r>
          </w:p>
        </w:tc>
        <w:tc>
          <w:tcPr>
            <w:tcW w:type="dxa" w:w="1824"/>
          </w:tcPr>
          <w:p>
            <w:r>
              <w:rPr>
                <w:rFonts w:ascii="Calibri" w:hAnsi="Calibri"/>
                <w:sz w:val="18"/>
              </w:rPr>
              <w:t>&lt; 2%</w:t>
            </w:r>
          </w:p>
        </w:tc>
        <w:tc>
          <w:tcPr>
            <w:tcW w:type="dxa" w:w="1824"/>
          </w:tcPr>
          <w:p>
            <w:r>
              <w:rPr>
                <w:rFonts w:ascii="Calibri" w:hAnsi="Calibri"/>
                <w:sz w:val="18"/>
              </w:rPr>
              <w:t>Mensual</w:t>
            </w:r>
          </w:p>
        </w:tc>
        <w:tc>
          <w:tcPr>
            <w:tcW w:type="dxa" w:w="1824"/>
          </w:tcPr>
          <w:p>
            <w:r>
              <w:rPr>
                <w:rFonts w:ascii="Calibri" w:hAnsi="Calibri"/>
                <w:sz w:val="18"/>
              </w:rPr>
              <w:t>Registro de PQRS</w:t>
            </w:r>
          </w:p>
        </w:tc>
      </w:tr>
      <w:tr>
        <w:tc>
          <w:tcPr>
            <w:tcW w:type="dxa" w:w="1824"/>
            <w:shd w:val="clear" w:color="auto" w:fill="EBF3FB"/>
          </w:tcPr>
          <w:p>
            <w:r>
              <w:rPr>
                <w:rFonts w:ascii="Calibri" w:hAnsi="Calibri"/>
                <w:sz w:val="18"/>
              </w:rPr>
              <w:t>Oportunidad en respuesta de PQRS</w:t>
            </w:r>
          </w:p>
        </w:tc>
        <w:tc>
          <w:tcPr>
            <w:tcW w:type="dxa" w:w="1824"/>
            <w:shd w:val="clear" w:color="auto" w:fill="EBF3FB"/>
          </w:tcPr>
          <w:p>
            <w:r>
              <w:rPr>
                <w:rFonts w:ascii="Calibri" w:hAnsi="Calibri"/>
                <w:sz w:val="18"/>
              </w:rPr>
              <w:t>PQRS respondidas a tiempo / Total PQRS x 100</w:t>
            </w:r>
          </w:p>
        </w:tc>
        <w:tc>
          <w:tcPr>
            <w:tcW w:type="dxa" w:w="1824"/>
            <w:shd w:val="clear" w:color="auto" w:fill="EBF3FB"/>
          </w:tcPr>
          <w:p>
            <w:r>
              <w:rPr>
                <w:rFonts w:ascii="Calibri" w:hAnsi="Calibri"/>
                <w:sz w:val="18"/>
              </w:rPr>
              <w:t>100%</w:t>
            </w:r>
          </w:p>
        </w:tc>
        <w:tc>
          <w:tcPr>
            <w:tcW w:type="dxa" w:w="1824"/>
            <w:shd w:val="clear" w:color="auto" w:fill="EBF3FB"/>
          </w:tcPr>
          <w:p>
            <w:r>
              <w:rPr>
                <w:rFonts w:ascii="Calibri" w:hAnsi="Calibri"/>
                <w:sz w:val="18"/>
              </w:rPr>
              <w:t>Mensual</w:t>
            </w:r>
          </w:p>
        </w:tc>
        <w:tc>
          <w:tcPr>
            <w:tcW w:type="dxa" w:w="1824"/>
            <w:shd w:val="clear" w:color="auto" w:fill="EBF3FB"/>
          </w:tcPr>
          <w:p>
            <w:r>
              <w:rPr>
                <w:rFonts w:ascii="Calibri" w:hAnsi="Calibri"/>
                <w:sz w:val="18"/>
              </w:rPr>
              <w:t>Registro de PQRS</w:t>
            </w:r>
          </w:p>
        </w:tc>
      </w:tr>
      <w:tr>
        <w:tc>
          <w:tcPr>
            <w:tcW w:type="dxa" w:w="1824"/>
          </w:tcPr>
          <w:p>
            <w:r>
              <w:rPr>
                <w:rFonts w:ascii="Calibri" w:hAnsi="Calibri"/>
                <w:sz w:val="18"/>
              </w:rPr>
              <w:t>Resolución efectiva de PQRS</w:t>
            </w:r>
          </w:p>
        </w:tc>
        <w:tc>
          <w:tcPr>
            <w:tcW w:type="dxa" w:w="1824"/>
          </w:tcPr>
          <w:p>
            <w:r>
              <w:rPr>
                <w:rFonts w:ascii="Calibri" w:hAnsi="Calibri"/>
                <w:sz w:val="18"/>
              </w:rPr>
              <w:t>PQRS resueltas satisfactoriamente / Total PQRS x 100</w:t>
            </w:r>
          </w:p>
        </w:tc>
        <w:tc>
          <w:tcPr>
            <w:tcW w:type="dxa" w:w="1824"/>
          </w:tcPr>
          <w:p>
            <w:r>
              <w:rPr>
                <w:rFonts w:ascii="Calibri" w:hAnsi="Calibri"/>
                <w:sz w:val="18"/>
              </w:rPr>
              <w:t>≥ 90%</w:t>
            </w:r>
          </w:p>
        </w:tc>
        <w:tc>
          <w:tcPr>
            <w:tcW w:type="dxa" w:w="1824"/>
          </w:tcPr>
          <w:p>
            <w:r>
              <w:rPr>
                <w:rFonts w:ascii="Calibri" w:hAnsi="Calibri"/>
                <w:sz w:val="18"/>
              </w:rPr>
              <w:t>Trimestral</w:t>
            </w:r>
          </w:p>
        </w:tc>
        <w:tc>
          <w:tcPr>
            <w:tcW w:type="dxa" w:w="1824"/>
          </w:tcPr>
          <w:p>
            <w:r>
              <w:rPr>
                <w:rFonts w:ascii="Calibri" w:hAnsi="Calibri"/>
                <w:sz w:val="18"/>
              </w:rPr>
              <w:t>Encuesta de seguimiento</w:t>
            </w:r>
          </w:p>
        </w:tc>
      </w:tr>
      <w:tr>
        <w:tc>
          <w:tcPr>
            <w:tcW w:type="dxa" w:w="1824"/>
            <w:shd w:val="clear" w:color="auto" w:fill="EBF3FB"/>
          </w:tcPr>
          <w:p>
            <w:r>
              <w:rPr>
                <w:rFonts w:ascii="Calibri" w:hAnsi="Calibri"/>
                <w:sz w:val="18"/>
              </w:rPr>
              <w:t>Tasa de reincidencia</w:t>
            </w:r>
          </w:p>
        </w:tc>
        <w:tc>
          <w:tcPr>
            <w:tcW w:type="dxa" w:w="1824"/>
            <w:shd w:val="clear" w:color="auto" w:fill="EBF3FB"/>
          </w:tcPr>
          <w:p>
            <w:r>
              <w:rPr>
                <w:rFonts w:ascii="Calibri" w:hAnsi="Calibri"/>
                <w:sz w:val="18"/>
              </w:rPr>
              <w:t>PQRS por el mismo motivo / Total PQRS x 100</w:t>
            </w:r>
          </w:p>
        </w:tc>
        <w:tc>
          <w:tcPr>
            <w:tcW w:type="dxa" w:w="1824"/>
            <w:shd w:val="clear" w:color="auto" w:fill="EBF3FB"/>
          </w:tcPr>
          <w:p>
            <w:r>
              <w:rPr>
                <w:rFonts w:ascii="Calibri" w:hAnsi="Calibri"/>
                <w:sz w:val="18"/>
              </w:rPr>
              <w:t>&lt; 5%</w:t>
            </w:r>
          </w:p>
        </w:tc>
        <w:tc>
          <w:tcPr>
            <w:tcW w:type="dxa" w:w="1824"/>
            <w:shd w:val="clear" w:color="auto" w:fill="EBF3FB"/>
          </w:tcPr>
          <w:p>
            <w:r>
              <w:rPr>
                <w:rFonts w:ascii="Calibri" w:hAnsi="Calibri"/>
                <w:sz w:val="18"/>
              </w:rPr>
              <w:t>Trimestral</w:t>
            </w:r>
          </w:p>
        </w:tc>
        <w:tc>
          <w:tcPr>
            <w:tcW w:type="dxa" w:w="1824"/>
            <w:shd w:val="clear" w:color="auto" w:fill="EBF3FB"/>
          </w:tcPr>
          <w:p>
            <w:r>
              <w:rPr>
                <w:rFonts w:ascii="Calibri" w:hAnsi="Calibri"/>
                <w:sz w:val="18"/>
              </w:rPr>
              <w:t>Registro de PQRS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sz w:val="18"/>
      </w:rPr>
      <w:t xml:space="preserve">Versión 1.0 | Junio 2025 | Página </w:t>
    </w:r>
    <w:r>
      <w:rPr>
        <w:rFonts w:ascii="Calibri" w:hAnsi="Calibri"/>
        <w:sz w:val="18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003366"/>
        <w:sz w:val="18"/>
      </w:rPr>
      <w:t>PROCESO DE ATENCIÓN DE PETICIONES, QUEJAS, RECLAMOS Y SUGERENCIAS (PQRS) | PRO-GC-003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