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003366"/>
          <w:sz w:val="36"/>
        </w:rPr>
        <w:t>[NOMBRE DEL CONSULTORIO]</w:t>
      </w:r>
    </w:p>
    <w:p>
      <w:pPr>
        <w:jc w:val="center"/>
      </w:pPr>
      <w:r>
        <w:rPr>
          <w:rFonts w:ascii="Calibri" w:hAnsi="Calibri"/>
          <w:b w:val="0"/>
          <w:color w:val="003366"/>
          <w:sz w:val="26"/>
        </w:rPr>
        <w:t>Consultorio Médico General y Procedimientos Estéticos No Invasivos</w:t>
      </w:r>
    </w:p>
    <w:p/>
    <w:p>
      <w:pPr>
        <w:jc w:val="center"/>
      </w:pPr>
      <w:r>
        <w:rPr>
          <w:rFonts w:ascii="Calibri" w:hAnsi="Calibri"/>
          <w:b/>
          <w:color w:val="003366"/>
          <w:sz w:val="32"/>
        </w:rPr>
        <w:t>MANUAL DE HABILITACIÓN DE SERVICIOS DE SALUD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Código: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MAN-HAB-001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Versión: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1.0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Fecha: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Junio 2025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Responsable: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[NOMBRE DE LA MÉDICA]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Dirección: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[DIRECCIÓN DEL CONSULTORIO]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Junio 2025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Creación del documento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TABLA DE CONTENIDO</w:t>
      </w:r>
    </w:p>
    <w:p>
      <w:pPr>
        <w:spacing w:after="80"/>
      </w:pPr>
      <w:r>
        <w:rPr>
          <w:rFonts w:ascii="Calibri" w:hAnsi="Calibri"/>
          <w:sz w:val="22"/>
        </w:rPr>
        <w:t>1. Objetivo</w:t>
      </w:r>
    </w:p>
    <w:p>
      <w:pPr>
        <w:spacing w:after="80"/>
      </w:pPr>
      <w:r>
        <w:rPr>
          <w:rFonts w:ascii="Calibri" w:hAnsi="Calibri"/>
          <w:sz w:val="22"/>
        </w:rPr>
        <w:t>2. Alcance</w:t>
      </w:r>
    </w:p>
    <w:p>
      <w:pPr>
        <w:spacing w:after="80"/>
      </w:pPr>
      <w:r>
        <w:rPr>
          <w:rFonts w:ascii="Calibri" w:hAnsi="Calibri"/>
          <w:sz w:val="22"/>
        </w:rPr>
        <w:t>3. Marco Legal</w:t>
      </w:r>
    </w:p>
    <w:p>
      <w:pPr>
        <w:spacing w:after="80"/>
      </w:pPr>
      <w:r>
        <w:rPr>
          <w:rFonts w:ascii="Calibri" w:hAnsi="Calibri"/>
          <w:sz w:val="22"/>
        </w:rPr>
        <w:t>4. Sistema Obligatorio de Garantía de Calidad (SOGCS)</w:t>
      </w:r>
    </w:p>
    <w:p>
      <w:pPr>
        <w:spacing w:after="80"/>
      </w:pPr>
      <w:r>
        <w:rPr>
          <w:rFonts w:ascii="Calibri" w:hAnsi="Calibri"/>
          <w:sz w:val="22"/>
        </w:rPr>
        <w:t>5. Proceso de Habilitación en Colombia</w:t>
      </w:r>
    </w:p>
    <w:p>
      <w:pPr>
        <w:spacing w:after="80"/>
      </w:pPr>
      <w:r>
        <w:rPr>
          <w:rFonts w:ascii="Calibri" w:hAnsi="Calibri"/>
          <w:sz w:val="22"/>
        </w:rPr>
        <w:t>6. Estándares de Habilitación Resolución 3100/2019 - Medicina General</w:t>
      </w:r>
    </w:p>
    <w:p>
      <w:pPr>
        <w:spacing w:after="80"/>
      </w:pPr>
      <w:r>
        <w:rPr>
          <w:rFonts w:ascii="Calibri" w:hAnsi="Calibri"/>
          <w:sz w:val="22"/>
        </w:rPr>
        <w:t>7. Lista de Verificación de Estándares</w:t>
      </w:r>
    </w:p>
    <w:p>
      <w:pPr>
        <w:spacing w:after="80"/>
      </w:pPr>
      <w:r>
        <w:rPr>
          <w:rFonts w:ascii="Calibri" w:hAnsi="Calibri"/>
          <w:sz w:val="22"/>
        </w:rPr>
        <w:t>8. Formulario de Inscripción en el REPS</w:t>
      </w:r>
    </w:p>
    <w:p>
      <w:pPr>
        <w:spacing w:after="80"/>
      </w:pPr>
      <w:r>
        <w:rPr>
          <w:rFonts w:ascii="Calibri" w:hAnsi="Calibri"/>
          <w:sz w:val="22"/>
        </w:rPr>
        <w:t>9. Renovación de Habilitación</w:t>
      </w:r>
    </w:p>
    <w:p>
      <w:pPr>
        <w:spacing w:after="80"/>
      </w:pPr>
      <w:r>
        <w:rPr>
          <w:rFonts w:ascii="Calibri" w:hAnsi="Calibri"/>
          <w:sz w:val="22"/>
        </w:rPr>
        <w:t>10. Visita de Verificación: Preparación y Qué Esperar</w:t>
      </w:r>
    </w:p>
    <w:p>
      <w:pPr>
        <w:spacing w:after="80"/>
      </w:pPr>
      <w:r>
        <w:rPr>
          <w:rFonts w:ascii="Calibri" w:hAnsi="Calibri"/>
          <w:sz w:val="22"/>
        </w:rPr>
        <w:t>11. Sanciones por Incumplimiento</w:t>
      </w:r>
    </w:p>
    <w:p>
      <w:pPr>
        <w:spacing w:after="80"/>
      </w:pPr>
      <w:r>
        <w:rPr>
          <w:rFonts w:ascii="Calibri" w:hAnsi="Calibri"/>
          <w:sz w:val="22"/>
        </w:rPr>
        <w:t>12. Responsables</w:t>
      </w:r>
    </w:p>
    <w:p>
      <w:r>
        <w:br w:type="page"/>
      </w:r>
    </w:p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1. OBJETIVO</w:t>
      </w:r>
    </w:p>
    <w:p>
      <w:pPr>
        <w:spacing w:after="80"/>
      </w:pPr>
      <w:r>
        <w:rPr>
          <w:rFonts w:ascii="Calibri" w:hAnsi="Calibri"/>
          <w:sz w:val="22"/>
        </w:rPr>
        <w:t>Orientar al consultorio [NOMBRE DEL CONSULTORIO] en el proceso de habilitación de servicios de salud, brindando información clara y completa sobre los requisitos normativos, los estándares a cumplir, el proceso de inscripción en el Registro Especial de Prestadores de Servicios de Salud (REPS) y los aspectos clave para superar la visita de verificación de la Secretaría de Salud.</w:t>
      </w:r>
    </w:p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2. ALCANCE</w:t>
      </w:r>
    </w:p>
    <w:p>
      <w:pPr>
        <w:spacing w:after="80"/>
      </w:pPr>
      <w:r>
        <w:rPr>
          <w:rFonts w:ascii="Calibri" w:hAnsi="Calibri"/>
          <w:sz w:val="22"/>
        </w:rPr>
        <w:t>El presente manual aplica para el proceso de habilitación del servicio de consulta externa de medicina general y procedimientos estéticos no invasivos del consultorio [NOMBRE DEL CONSULTORIO], ubicado en [DIRECCIÓN DEL CONSULTORIO], ante la Secretaría de Salud del municipio/departamento correspondiente.</w:t>
      </w:r>
    </w:p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3. MARCO LEGAL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Norma</w:t>
            </w:r>
          </w:p>
        </w:tc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Ley 100 de 1993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Crea el Sistema General de Seguridad Social en Salud.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Decreto 1011 de 2006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Establece el Sistema Obligatorio de Garantía de Calidad de la Atención de Salud (SOGCS).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Resolución 1043 de 2006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Condiciones que deben cumplir los Prestadores de Servicios de Salud para habilitar sus servicios.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Resolución 2003 de 2014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Define procedimientos y condiciones de inscripción de prestadores y habilitación de servicios.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Resolución 3100 de 2019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Actualiza y define los procedimientos y condiciones de inscripción de prestadores de servicios de salud y habilitación de servicios de salud. NORMA VIGENTE.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Decreto 780 de 2016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Decreto Único Reglamentario del Sector Salud y Protección Social.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4. SISTEMA OBLIGATORIO DE GARANTÍA DE CALIDAD (SOGCS)</w:t>
      </w:r>
    </w:p>
    <w:p>
      <w:pPr>
        <w:spacing w:after="80"/>
      </w:pPr>
      <w:r>
        <w:rPr>
          <w:rFonts w:ascii="Calibri" w:hAnsi="Calibri"/>
          <w:sz w:val="22"/>
        </w:rPr>
        <w:t>El SOGCS es el conjunto de instituciones, normas, requisitos, mecanismos y procesos deliberados y sistemáticos del sector salud para generar, mantener y mejorar la calidad de los servicios de salud. Está compuesto por cuatro componentes: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04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04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Entidad Responsable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1. Habilitación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Sistema de registro de los prestadores y sus servicios que cumplan con condiciones mínimas de capacidad tecnológica, científica y suficiencia patrimonial y financiera.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Secretarías de Salud (Departamental/Municipal)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2. Auditoría para el Mejoramiento (PAMEC)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Mecanismo sistemático y continuo de evaluación y mejoramiento de la calidad observada respecto de la calidad esperada.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Prestadores de Servicios de Salud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3. Sistema de Información para la Calidad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Sistema de información que permite identificar, recolectar, procesar y analizar información sobre la calidad de los servicios de salud.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Ministerio de Salud / Prestadores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4. Acreditación en Salud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Proceso voluntario y periódico de autoevaluación interna y revisión externa de los procesos y resultados que garantizan y mejoran la calidad.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ICONTEC (Entidad Acreditadora)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5. PROCESO DE HABILITACIÓN EN COLOMBIA - PASO A PASO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0"/>
              </w:rPr>
              <w:t>PASO 1: Autoevaluación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Realizar una autoevaluación exhaustiva de las condiciones del consultorio comparadas con los estándares de la Resolución 3100 de 2019. Identificar las brechas y desarrollar un plan de acción para subsanarlas antes de presentarse ante la Secretaría.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0"/>
              </w:rPr>
              <w:t>PASO 2: Preparación de documentos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Organizar toda la documentación requerida: hojas de vida del personal, certificados de formación, contratos, inventario de equipos, fichas técnicas, manuales, protocolos, pólizas de responsabilidad civil, etc.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0"/>
              </w:rPr>
              <w:t>PASO 3: Inscripción en el REPS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Acceder al portal del Registro Especial de Prestadores de Servicios de Salud (REPS) en: www.sispro.gov.co. Diligenciar el formulario de inscripción con los datos del prestador y los servicios a habilitar.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0"/>
              </w:rPr>
              <w:t>PASO 4: Radicación ante la Secretaría de Salud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Radicar la solicitud de habilitación ante la Secretaría de Salud del municipio/departamento. Presentar los documentos requeridos y el pago de la tarifa si aplica.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0"/>
              </w:rPr>
              <w:t>PASO 5: Visita de verificación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La Secretaría de Salud programa una visita de verificación al consultorio. Durante la visita, los funcionarios verificarán el cumplimiento de los estándares de habilitación in situ.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0"/>
              </w:rPr>
              <w:t>PASO 6: Concepto de la visita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Tras la visita, la Secretaría emite un concepto favorable o desfavorable. Si hay hallazgos, se concede un plazo para subsanarlos.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0"/>
              </w:rPr>
              <w:t>PASO 7: Habilitación y REPS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Con concepto favorable, el prestador queda habilitado e inscrito en el REPS. El certificado de habilitación está disponible en el portal REPS.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0"/>
              </w:rPr>
              <w:t>PASO 8: Mantenimiento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El prestador debe mantener las condiciones de habilitación durante toda la vigencia. Debe reportar cambios que modifiquen las condiciones habilitadas.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6. ESTÁNDARES DE HABILITACIÓN RESOLUCIÓN 3100/2019 - MEDICINA GENERAL</w:t>
      </w:r>
    </w:p>
    <w:p>
      <w:pPr>
        <w:spacing w:after="80"/>
      </w:pPr>
      <w:r>
        <w:rPr>
          <w:rFonts w:ascii="Calibri" w:hAnsi="Calibri"/>
          <w:sz w:val="22"/>
        </w:rPr>
        <w:t>La Resolución 3100 de 2019 establece los siguientes grupos de estándares para la habilitación de servicios de salud:</w:t>
      </w:r>
    </w:p>
    <w:p>
      <w:pPr>
        <w:spacing w:before="200" w:after="80"/>
      </w:pPr>
      <w:r>
        <w:rPr>
          <w:rFonts w:ascii="Calibri" w:hAnsi="Calibri"/>
          <w:b/>
          <w:color w:val="003366"/>
          <w:sz w:val="24"/>
        </w:rPr>
        <w:t>6.1 Estándar: 1. Talento Humano</w:t>
      </w:r>
    </w:p>
    <w:p>
      <w:pPr>
        <w:spacing w:after="80"/>
      </w:pPr>
      <w:r>
        <w:rPr>
          <w:rFonts w:ascii="Calibri" w:hAnsi="Calibri"/>
          <w:sz w:val="22"/>
        </w:rPr>
        <w:t>Requisitos relacionados con el personal que presta los servicios de salud: formación, certificaciones, títulos, contratos y perfiles de cargo.</w:t>
      </w:r>
    </w:p>
    <w:p>
      <w:pPr>
        <w:pStyle w:val="ListBullet"/>
      </w:pPr>
      <w:r>
        <w:rPr>
          <w:rFonts w:ascii="Calibri" w:hAnsi="Calibri"/>
          <w:sz w:val="22"/>
        </w:rPr>
        <w:t>Médico con título profesional y tarjeta profesional vigente</w:t>
      </w:r>
    </w:p>
    <w:p>
      <w:pPr>
        <w:pStyle w:val="ListBullet"/>
      </w:pPr>
      <w:r>
        <w:rPr>
          <w:rFonts w:ascii="Calibri" w:hAnsi="Calibri"/>
          <w:sz w:val="22"/>
        </w:rPr>
        <w:t>Certificados de formación complementaria actualizados</w:t>
      </w:r>
    </w:p>
    <w:p>
      <w:pPr>
        <w:pStyle w:val="ListBullet"/>
      </w:pPr>
      <w:r>
        <w:rPr>
          <w:rFonts w:ascii="Calibri" w:hAnsi="Calibri"/>
          <w:sz w:val="22"/>
        </w:rPr>
        <w:t>Contratos o convenios formalizados</w:t>
      </w:r>
    </w:p>
    <w:p>
      <w:pPr>
        <w:pStyle w:val="ListBullet"/>
      </w:pPr>
      <w:r>
        <w:rPr>
          <w:rFonts w:ascii="Calibri" w:hAnsi="Calibri"/>
          <w:sz w:val="22"/>
        </w:rPr>
        <w:t>Reglamento de trabajo o manual de funciones</w:t>
      </w:r>
    </w:p>
    <w:p/>
    <w:p>
      <w:pPr>
        <w:spacing w:before="200" w:after="80"/>
      </w:pPr>
      <w:r>
        <w:rPr>
          <w:rFonts w:ascii="Calibri" w:hAnsi="Calibri"/>
          <w:b/>
          <w:color w:val="003366"/>
          <w:sz w:val="24"/>
        </w:rPr>
        <w:t>6.2 Estándar: 2. Infraestructura</w:t>
      </w:r>
    </w:p>
    <w:p>
      <w:pPr>
        <w:spacing w:after="80"/>
      </w:pPr>
      <w:r>
        <w:rPr>
          <w:rFonts w:ascii="Calibri" w:hAnsi="Calibri"/>
          <w:sz w:val="22"/>
        </w:rPr>
        <w:t>Condiciones físicas de las instalaciones donde se prestan los servicios de salud.</w:t>
      </w:r>
    </w:p>
    <w:p>
      <w:pPr>
        <w:pStyle w:val="ListBullet"/>
      </w:pPr>
      <w:r>
        <w:rPr>
          <w:rFonts w:ascii="Calibri" w:hAnsi="Calibri"/>
          <w:sz w:val="22"/>
        </w:rPr>
        <w:t>Áreas específicas para cada servicio claramente delimitadas</w:t>
      </w:r>
    </w:p>
    <w:p>
      <w:pPr>
        <w:pStyle w:val="ListBullet"/>
      </w:pPr>
      <w:r>
        <w:rPr>
          <w:rFonts w:ascii="Calibri" w:hAnsi="Calibri"/>
          <w:sz w:val="22"/>
        </w:rPr>
        <w:t>Dimensiones mínimas según el tipo de servicio</w:t>
      </w:r>
    </w:p>
    <w:p>
      <w:pPr>
        <w:pStyle w:val="ListBullet"/>
      </w:pPr>
      <w:r>
        <w:rPr>
          <w:rFonts w:ascii="Calibri" w:hAnsi="Calibri"/>
          <w:sz w:val="22"/>
        </w:rPr>
        <w:t>Ventilación e iluminación adecuadas</w:t>
      </w:r>
    </w:p>
    <w:p>
      <w:pPr>
        <w:pStyle w:val="ListBullet"/>
      </w:pPr>
      <w:r>
        <w:rPr>
          <w:rFonts w:ascii="Calibri" w:hAnsi="Calibri"/>
          <w:sz w:val="22"/>
        </w:rPr>
        <w:t>Accesibilidad para personas con discapacidad (Ley 361/1997)</w:t>
      </w:r>
    </w:p>
    <w:p>
      <w:pPr>
        <w:pStyle w:val="ListBullet"/>
      </w:pPr>
      <w:r>
        <w:rPr>
          <w:rFonts w:ascii="Calibri" w:hAnsi="Calibri"/>
          <w:sz w:val="22"/>
        </w:rPr>
        <w:t>Baño para usuarios</w:t>
      </w:r>
    </w:p>
    <w:p>
      <w:pPr>
        <w:pStyle w:val="ListBullet"/>
      </w:pPr>
      <w:r>
        <w:rPr>
          <w:rFonts w:ascii="Calibri" w:hAnsi="Calibri"/>
          <w:sz w:val="22"/>
        </w:rPr>
        <w:t>Área de lavado de manos en el consultorio</w:t>
      </w:r>
    </w:p>
    <w:p/>
    <w:p>
      <w:pPr>
        <w:spacing w:before="200" w:after="80"/>
      </w:pPr>
      <w:r>
        <w:rPr>
          <w:rFonts w:ascii="Calibri" w:hAnsi="Calibri"/>
          <w:b/>
          <w:color w:val="003366"/>
          <w:sz w:val="24"/>
        </w:rPr>
        <w:t>6.3 Estándar: 3. Dotación</w:t>
      </w:r>
    </w:p>
    <w:p>
      <w:pPr>
        <w:spacing w:after="80"/>
      </w:pPr>
      <w:r>
        <w:rPr>
          <w:rFonts w:ascii="Calibri" w:hAnsi="Calibri"/>
          <w:sz w:val="22"/>
        </w:rPr>
        <w:t>Equipos biomédicos, instrumental e insumos necesarios para la prestación del servicio.</w:t>
      </w:r>
    </w:p>
    <w:p>
      <w:pPr>
        <w:pStyle w:val="ListBullet"/>
      </w:pPr>
      <w:r>
        <w:rPr>
          <w:rFonts w:ascii="Calibri" w:hAnsi="Calibri"/>
          <w:sz w:val="22"/>
        </w:rPr>
        <w:t>Equipo de cómputo para historia clínica electrónica o papelería</w:t>
      </w:r>
    </w:p>
    <w:p>
      <w:pPr>
        <w:pStyle w:val="ListBullet"/>
      </w:pPr>
      <w:r>
        <w:rPr>
          <w:rFonts w:ascii="Calibri" w:hAnsi="Calibri"/>
          <w:sz w:val="22"/>
        </w:rPr>
        <w:t>Tensiómetro calibrado</w:t>
      </w:r>
    </w:p>
    <w:p>
      <w:pPr>
        <w:pStyle w:val="ListBullet"/>
      </w:pPr>
      <w:r>
        <w:rPr>
          <w:rFonts w:ascii="Calibri" w:hAnsi="Calibri"/>
          <w:sz w:val="22"/>
        </w:rPr>
        <w:t>Estetoscopio</w:t>
      </w:r>
    </w:p>
    <w:p>
      <w:pPr>
        <w:pStyle w:val="ListBullet"/>
      </w:pPr>
      <w:r>
        <w:rPr>
          <w:rFonts w:ascii="Calibri" w:hAnsi="Calibri"/>
          <w:sz w:val="22"/>
        </w:rPr>
        <w:t>Termómetro</w:t>
      </w:r>
    </w:p>
    <w:p>
      <w:pPr>
        <w:pStyle w:val="ListBullet"/>
      </w:pPr>
      <w:r>
        <w:rPr>
          <w:rFonts w:ascii="Calibri" w:hAnsi="Calibri"/>
          <w:sz w:val="22"/>
        </w:rPr>
        <w:t>Báscula</w:t>
      </w:r>
    </w:p>
    <w:p>
      <w:pPr>
        <w:pStyle w:val="ListBullet"/>
      </w:pPr>
      <w:r>
        <w:rPr>
          <w:rFonts w:ascii="Calibri" w:hAnsi="Calibri"/>
          <w:sz w:val="22"/>
        </w:rPr>
        <w:t>Equipo para procedimientos estéticos habilitados</w:t>
      </w:r>
    </w:p>
    <w:p/>
    <w:p>
      <w:pPr>
        <w:spacing w:before="200" w:after="80"/>
      </w:pPr>
      <w:r>
        <w:rPr>
          <w:rFonts w:ascii="Calibri" w:hAnsi="Calibri"/>
          <w:b/>
          <w:color w:val="003366"/>
          <w:sz w:val="24"/>
        </w:rPr>
        <w:t>6.4 Estándar: 4. Medicamentos y Dispositivos Médicos</w:t>
      </w:r>
    </w:p>
    <w:p>
      <w:pPr>
        <w:spacing w:after="80"/>
      </w:pPr>
      <w:r>
        <w:rPr>
          <w:rFonts w:ascii="Calibri" w:hAnsi="Calibri"/>
          <w:sz w:val="22"/>
        </w:rPr>
        <w:t>Condiciones para el almacenamiento y manejo de medicamentos e insumos.</w:t>
      </w:r>
    </w:p>
    <w:p>
      <w:pPr>
        <w:pStyle w:val="ListBullet"/>
      </w:pPr>
      <w:r>
        <w:rPr>
          <w:rFonts w:ascii="Calibri" w:hAnsi="Calibri"/>
          <w:sz w:val="22"/>
        </w:rPr>
        <w:t>Medicamentos esenciales para la atención de urgencias básicas (si aplica)</w:t>
      </w:r>
    </w:p>
    <w:p>
      <w:pPr>
        <w:pStyle w:val="ListBullet"/>
      </w:pPr>
      <w:r>
        <w:rPr>
          <w:rFonts w:ascii="Calibri" w:hAnsi="Calibri"/>
          <w:sz w:val="22"/>
        </w:rPr>
        <w:t>Epinefrina disponible para manejo de anafilaxia</w:t>
      </w:r>
    </w:p>
    <w:p>
      <w:pPr>
        <w:pStyle w:val="ListBullet"/>
      </w:pPr>
      <w:r>
        <w:rPr>
          <w:rFonts w:ascii="Calibri" w:hAnsi="Calibri"/>
          <w:sz w:val="22"/>
        </w:rPr>
        <w:t>Condiciones de almacenamiento adecuadas (temperatura, luz, humedad)</w:t>
      </w:r>
    </w:p>
    <w:p/>
    <w:p>
      <w:pPr>
        <w:spacing w:before="200" w:after="80"/>
      </w:pPr>
      <w:r>
        <w:rPr>
          <w:rFonts w:ascii="Calibri" w:hAnsi="Calibri"/>
          <w:b/>
          <w:color w:val="003366"/>
          <w:sz w:val="24"/>
        </w:rPr>
        <w:t>6.5 Estándar: 5. Procesos Prioritarios</w:t>
      </w:r>
    </w:p>
    <w:p>
      <w:pPr>
        <w:spacing w:after="80"/>
      </w:pPr>
      <w:r>
        <w:rPr>
          <w:rFonts w:ascii="Calibri" w:hAnsi="Calibri"/>
          <w:sz w:val="22"/>
        </w:rPr>
        <w:t>Documentación y cumplimiento de los procesos asistenciales críticos.</w:t>
      </w:r>
    </w:p>
    <w:p>
      <w:pPr>
        <w:pStyle w:val="ListBullet"/>
      </w:pPr>
      <w:r>
        <w:rPr>
          <w:rFonts w:ascii="Calibri" w:hAnsi="Calibri"/>
          <w:sz w:val="22"/>
        </w:rPr>
        <w:t>Protocolos y guías de práctica clínica</w:t>
      </w:r>
    </w:p>
    <w:p>
      <w:pPr>
        <w:pStyle w:val="ListBullet"/>
      </w:pPr>
      <w:r>
        <w:rPr>
          <w:rFonts w:ascii="Calibri" w:hAnsi="Calibri"/>
          <w:sz w:val="22"/>
        </w:rPr>
        <w:t>Protocolo de manejo de residuos hospitalarios</w:t>
      </w:r>
    </w:p>
    <w:p>
      <w:pPr>
        <w:pStyle w:val="ListBullet"/>
      </w:pPr>
      <w:r>
        <w:rPr>
          <w:rFonts w:ascii="Calibri" w:hAnsi="Calibri"/>
          <w:sz w:val="22"/>
        </w:rPr>
        <w:t>Protocolo de lavado de manos</w:t>
      </w:r>
    </w:p>
    <w:p>
      <w:pPr>
        <w:pStyle w:val="ListBullet"/>
      </w:pPr>
      <w:r>
        <w:rPr>
          <w:rFonts w:ascii="Calibri" w:hAnsi="Calibri"/>
          <w:sz w:val="22"/>
        </w:rPr>
        <w:t>Protocolo de esterilización y desinfección</w:t>
      </w:r>
    </w:p>
    <w:p>
      <w:pPr>
        <w:pStyle w:val="ListBullet"/>
      </w:pPr>
      <w:r>
        <w:rPr>
          <w:rFonts w:ascii="Calibri" w:hAnsi="Calibri"/>
          <w:sz w:val="22"/>
        </w:rPr>
        <w:t>Consentimientos informados</w:t>
      </w:r>
    </w:p>
    <w:p>
      <w:pPr>
        <w:pStyle w:val="ListBullet"/>
      </w:pPr>
      <w:r>
        <w:rPr>
          <w:rFonts w:ascii="Calibri" w:hAnsi="Calibri"/>
          <w:sz w:val="22"/>
        </w:rPr>
        <w:t>Plan de emergencias</w:t>
      </w:r>
    </w:p>
    <w:p/>
    <w:p>
      <w:pPr>
        <w:spacing w:before="200" w:after="80"/>
      </w:pPr>
      <w:r>
        <w:rPr>
          <w:rFonts w:ascii="Calibri" w:hAnsi="Calibri"/>
          <w:b/>
          <w:color w:val="003366"/>
          <w:sz w:val="24"/>
        </w:rPr>
        <w:t>6.6 Estándar: 6. Historia Clínica y Registros</w:t>
      </w:r>
    </w:p>
    <w:p>
      <w:pPr>
        <w:spacing w:after="80"/>
      </w:pPr>
      <w:r>
        <w:rPr>
          <w:rFonts w:ascii="Calibri" w:hAnsi="Calibri"/>
          <w:sz w:val="22"/>
        </w:rPr>
        <w:t>Requisitos para el diligenciamiento, conservación y confidencialidad de la historia clínica.</w:t>
      </w:r>
    </w:p>
    <w:p>
      <w:pPr>
        <w:pStyle w:val="ListBullet"/>
      </w:pPr>
      <w:r>
        <w:rPr>
          <w:rFonts w:ascii="Calibri" w:hAnsi="Calibri"/>
          <w:sz w:val="22"/>
        </w:rPr>
        <w:t>Historia clínica completa por cada usuario atendido</w:t>
      </w:r>
    </w:p>
    <w:p>
      <w:pPr>
        <w:pStyle w:val="ListBullet"/>
      </w:pPr>
      <w:r>
        <w:rPr>
          <w:rFonts w:ascii="Calibri" w:hAnsi="Calibri"/>
          <w:sz w:val="22"/>
        </w:rPr>
        <w:t>Consentimiento informado firmado por el paciente</w:t>
      </w:r>
    </w:p>
    <w:p>
      <w:pPr>
        <w:pStyle w:val="ListBullet"/>
      </w:pPr>
      <w:r>
        <w:rPr>
          <w:rFonts w:ascii="Calibri" w:hAnsi="Calibri"/>
          <w:sz w:val="22"/>
        </w:rPr>
        <w:t>Archivo de historias clínicas organizado y seguro</w:t>
      </w:r>
    </w:p>
    <w:p>
      <w:pPr>
        <w:pStyle w:val="ListBullet"/>
      </w:pPr>
      <w:r>
        <w:rPr>
          <w:rFonts w:ascii="Calibri" w:hAnsi="Calibri"/>
          <w:sz w:val="22"/>
        </w:rPr>
        <w:t>Confidencialidad garantizada</w:t>
      </w:r>
    </w:p>
    <w:p/>
    <w:p>
      <w:pPr>
        <w:spacing w:before="200" w:after="80"/>
      </w:pPr>
      <w:r>
        <w:rPr>
          <w:rFonts w:ascii="Calibri" w:hAnsi="Calibri"/>
          <w:b/>
          <w:color w:val="003366"/>
          <w:sz w:val="24"/>
        </w:rPr>
        <w:t>6.7 Estándar: 7. Interdependencia de Servicios</w:t>
      </w:r>
    </w:p>
    <w:p>
      <w:pPr>
        <w:spacing w:after="80"/>
      </w:pPr>
      <w:r>
        <w:rPr>
          <w:rFonts w:ascii="Calibri" w:hAnsi="Calibri"/>
          <w:sz w:val="22"/>
        </w:rPr>
        <w:t>Capacidad del prestador para articularse con otros niveles de atención cuando sea necesario.</w:t>
      </w:r>
    </w:p>
    <w:p>
      <w:pPr>
        <w:pStyle w:val="ListBullet"/>
      </w:pPr>
      <w:r>
        <w:rPr>
          <w:rFonts w:ascii="Calibri" w:hAnsi="Calibri"/>
          <w:sz w:val="22"/>
        </w:rPr>
        <w:t>Mecanismo formal de referencia y contrarreferencia</w:t>
      </w:r>
    </w:p>
    <w:p>
      <w:pPr>
        <w:pStyle w:val="ListBullet"/>
      </w:pPr>
      <w:r>
        <w:rPr>
          <w:rFonts w:ascii="Calibri" w:hAnsi="Calibri"/>
          <w:sz w:val="22"/>
        </w:rPr>
        <w:t>Convenio o acuerdo con servicio de urgencias</w:t>
      </w:r>
    </w:p>
    <w:p>
      <w:pPr>
        <w:pStyle w:val="ListBullet"/>
      </w:pPr>
      <w:r>
        <w:rPr>
          <w:rFonts w:ascii="Calibri" w:hAnsi="Calibri"/>
          <w:sz w:val="22"/>
        </w:rPr>
        <w:t>Directorio de instituciones de referencia</w:t>
      </w:r>
    </w:p>
    <w:p/>
    <w:p>
      <w:pPr>
        <w:spacing w:before="200" w:after="80"/>
      </w:pPr>
      <w:r>
        <w:rPr>
          <w:rFonts w:ascii="Calibri" w:hAnsi="Calibri"/>
          <w:b/>
          <w:color w:val="003366"/>
          <w:sz w:val="24"/>
        </w:rPr>
        <w:t>6.8 Estándar: 8. Referencia y Contrarreferencia</w:t>
      </w:r>
    </w:p>
    <w:p>
      <w:pPr>
        <w:spacing w:after="80"/>
      </w:pPr>
      <w:r>
        <w:rPr>
          <w:rFonts w:ascii="Calibri" w:hAnsi="Calibri"/>
          <w:sz w:val="22"/>
        </w:rPr>
        <w:t>Procesos para la remisión de pacientes a otros niveles de atención.</w:t>
      </w:r>
    </w:p>
    <w:p>
      <w:pPr>
        <w:pStyle w:val="ListBullet"/>
      </w:pPr>
      <w:r>
        <w:rPr>
          <w:rFonts w:ascii="Calibri" w:hAnsi="Calibri"/>
          <w:sz w:val="22"/>
        </w:rPr>
        <w:t>Protocolo de remisión de pacientes</w:t>
      </w:r>
    </w:p>
    <w:p>
      <w:pPr>
        <w:pStyle w:val="ListBullet"/>
      </w:pPr>
      <w:r>
        <w:rPr>
          <w:rFonts w:ascii="Calibri" w:hAnsi="Calibri"/>
          <w:sz w:val="22"/>
        </w:rPr>
        <w:t>Formato de remisión</w:t>
      </w:r>
    </w:p>
    <w:p>
      <w:pPr>
        <w:pStyle w:val="ListBullet"/>
      </w:pPr>
      <w:r>
        <w:rPr>
          <w:rFonts w:ascii="Calibri" w:hAnsi="Calibri"/>
          <w:sz w:val="22"/>
        </w:rPr>
        <w:t>Registro de pacientes remitidos</w:t>
      </w:r>
    </w:p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8. FORMULARIO DE INSCRIPCIÓN EN EL REPS</w:t>
      </w:r>
    </w:p>
    <w:p>
      <w:pPr>
        <w:spacing w:after="80"/>
      </w:pPr>
      <w:r>
        <w:rPr>
          <w:rFonts w:ascii="Calibri" w:hAnsi="Calibri"/>
          <w:sz w:val="22"/>
        </w:rPr>
        <w:t>El Registro Especial de Prestadores de Servicios de Salud (REPS) es el sistema de información a través del cual los prestadores de servicios de salud se inscriben para habilitar sus servicios. El formulario de inscripción contiene los siguientes módulos: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Información Requerida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0"/>
              </w:rPr>
              <w:t>Módulo 1: Datos del Prestador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Nombre o razón social, NIT o cédula, representante legal, dirección, municipio, teléfono, correo electrónico.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0"/>
              </w:rPr>
              <w:t>Módulo 2: Servicios a Habilitar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Código y nombre de cada servicio según el Manual de Inscripción de Prestadores (Res. 3100/2019), complejidad, sede de prestación.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0"/>
              </w:rPr>
              <w:t>Módulo 3: Talento Humano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Nombre, documento, título profesional, tarjeta profesional de cada profesional de salud.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0"/>
              </w:rPr>
              <w:t>Módulo 4: Capacidad Instalada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Número de consultorios, camas (si aplica), equipos biomédicos principales.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0"/>
              </w:rPr>
              <w:t>Módulo 5: Declaración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Declaración juramentada del cumplimiento de los estándares de habilitación.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9. RENOVACIÓN DE HABILITACIÓN</w:t>
      </w:r>
    </w:p>
    <w:p>
      <w:pPr>
        <w:spacing w:after="80"/>
      </w:pPr>
      <w:r>
        <w:rPr>
          <w:rFonts w:ascii="Calibri" w:hAnsi="Calibri"/>
          <w:sz w:val="22"/>
        </w:rPr>
        <w:t>La habilitación de servicios de salud no tiene una periodicidad fija de renovación en la Resolución 3100 de 2019. Sin embargo, el prestador debe:</w:t>
      </w:r>
    </w:p>
    <w:p>
      <w:pPr>
        <w:pStyle w:val="ListBullet"/>
      </w:pPr>
      <w:r>
        <w:rPr>
          <w:rFonts w:ascii="Calibri" w:hAnsi="Calibri"/>
          <w:sz w:val="22"/>
        </w:rPr>
        <w:t>Actualizar la información en el REPS cuando haya cambios en los servicios, el personal, la infraestructura o la dotación.</w:t>
      </w:r>
    </w:p>
    <w:p>
      <w:pPr>
        <w:pStyle w:val="ListBullet"/>
      </w:pPr>
      <w:r>
        <w:rPr>
          <w:rFonts w:ascii="Calibri" w:hAnsi="Calibri"/>
          <w:sz w:val="22"/>
        </w:rPr>
        <w:t>Mantener las condiciones de habilitación en todo momento durante la vigencia.</w:t>
      </w:r>
    </w:p>
    <w:p>
      <w:pPr>
        <w:pStyle w:val="ListBullet"/>
      </w:pPr>
      <w:r>
        <w:rPr>
          <w:rFonts w:ascii="Calibri" w:hAnsi="Calibri"/>
          <w:sz w:val="22"/>
        </w:rPr>
        <w:t>Informar a la Secretaría de Salud sobre la suspensión o clausura de servicios.</w:t>
      </w:r>
    </w:p>
    <w:p>
      <w:pPr>
        <w:pStyle w:val="ListBullet"/>
      </w:pPr>
      <w:r>
        <w:rPr>
          <w:rFonts w:ascii="Calibri" w:hAnsi="Calibri"/>
          <w:sz w:val="22"/>
        </w:rPr>
        <w:t>Actualizar anualmente la declaración de cumplimiento de estándares en el REPS.</w:t>
      </w:r>
    </w:p>
    <w:p>
      <w:pPr>
        <w:pStyle w:val="ListBullet"/>
      </w:pPr>
      <w:r>
        <w:rPr>
          <w:rFonts w:ascii="Calibri" w:hAnsi="Calibri"/>
          <w:sz w:val="22"/>
        </w:rPr>
        <w:t>Verificar que las certificaciones del personal se mantengan vigentes.</w:t>
      </w:r>
    </w:p>
    <w:p>
      <w:pPr>
        <w:pStyle w:val="ListBullet"/>
      </w:pPr>
      <w:r>
        <w:rPr>
          <w:rFonts w:ascii="Calibri" w:hAnsi="Calibri"/>
          <w:sz w:val="22"/>
        </w:rPr>
        <w:t>Mantener al día los contratos de mantenimiento preventivo de equipos.</w:t>
      </w:r>
    </w:p>
    <w:p>
      <w:pPr>
        <w:pStyle w:val="ListBullet"/>
      </w:pPr>
      <w:r>
        <w:rPr>
          <w:rFonts w:ascii="Calibri" w:hAnsi="Calibri"/>
          <w:sz w:val="22"/>
        </w:rPr>
        <w:t>Conservar el archivo documental actualizado y disponible para inspección.</w:t>
      </w:r>
    </w:p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10. VISITA DE VERIFICACIÓN: PREPARACIÓN Y QUÉ ESPERAR</w:t>
      </w:r>
    </w:p>
    <w:p>
      <w:pPr>
        <w:spacing w:before="200" w:after="80"/>
      </w:pPr>
      <w:r>
        <w:rPr>
          <w:rFonts w:ascii="Calibri" w:hAnsi="Calibri"/>
          <w:b/>
          <w:color w:val="003366"/>
          <w:sz w:val="24"/>
        </w:rPr>
        <w:t>10.1 Preparación para la Visita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Aspecto a Preparar</w:t>
            </w:r>
          </w:p>
        </w:tc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Acciones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Documentación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Tener organizada toda la documentación en carpetas separadas por estándar (Talento Humano, Infraestructura, Dotación, etc.).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Instalaciones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Las instalaciones deben estar limpias, organizadas y señalizadas. Los equipos deben estar funcionando y con certificados de calibración al día.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Personal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Todo el personal debe conocer los protocolos y procedimientos. Deben poder explicar su rol y sus responsabilidades.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Equipos y dotación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Los equipos deben estar limpios, con etiquetas de identificación, y con sus hojas de vida actualizadas.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Residuos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El área de almacenamiento de residuos debe estar ordenada y los recipientes correctamente identificados.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Historia clínica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Tener disponibles ejemplos de historias clínicas completas y los formatos de consentimiento informado.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4"/>
        </w:rPr>
        <w:t>10.2 Durante la Visita</w:t>
      </w:r>
    </w:p>
    <w:p>
      <w:pPr>
        <w:pStyle w:val="ListBullet"/>
      </w:pPr>
      <w:r>
        <w:rPr>
          <w:rFonts w:ascii="Calibri" w:hAnsi="Calibri"/>
          <w:sz w:val="22"/>
        </w:rPr>
        <w:t>Recibir amablemente a los visitadores de la Secretaría de Salud.</w:t>
      </w:r>
    </w:p>
    <w:p>
      <w:pPr>
        <w:pStyle w:val="ListBullet"/>
      </w:pPr>
      <w:r>
        <w:rPr>
          <w:rFonts w:ascii="Calibri" w:hAnsi="Calibri"/>
          <w:sz w:val="22"/>
        </w:rPr>
        <w:t>Presentar la documentación solicitada de forma organizada.</w:t>
      </w:r>
    </w:p>
    <w:p>
      <w:pPr>
        <w:pStyle w:val="ListBullet"/>
      </w:pPr>
      <w:r>
        <w:rPr>
          <w:rFonts w:ascii="Calibri" w:hAnsi="Calibri"/>
          <w:sz w:val="22"/>
        </w:rPr>
        <w:t>Acompañar a los visitadores durante el recorrido por las instalaciones.</w:t>
      </w:r>
    </w:p>
    <w:p>
      <w:pPr>
        <w:pStyle w:val="ListBullet"/>
      </w:pPr>
      <w:r>
        <w:rPr>
          <w:rFonts w:ascii="Calibri" w:hAnsi="Calibri"/>
          <w:sz w:val="22"/>
        </w:rPr>
        <w:t>Responder con honestidad y precisión las preguntas formuladas.</w:t>
      </w:r>
    </w:p>
    <w:p>
      <w:pPr>
        <w:pStyle w:val="ListBullet"/>
      </w:pPr>
      <w:r>
        <w:rPr>
          <w:rFonts w:ascii="Calibri" w:hAnsi="Calibri"/>
          <w:sz w:val="22"/>
        </w:rPr>
        <w:t>Tomar nota de todos los hallazgos y observaciones realizados.</w:t>
      </w:r>
    </w:p>
    <w:p>
      <w:pPr>
        <w:pStyle w:val="ListBullet"/>
      </w:pPr>
      <w:r>
        <w:rPr>
          <w:rFonts w:ascii="Calibri" w:hAnsi="Calibri"/>
          <w:sz w:val="22"/>
        </w:rPr>
        <w:t>No discutir ni confrontar; si hay discrepancias, presentarlas por escrito en la respuesta.</w:t>
      </w:r>
    </w:p>
    <w:p>
      <w:pPr>
        <w:pStyle w:val="ListBullet"/>
      </w:pPr>
      <w:r>
        <w:rPr>
          <w:rFonts w:ascii="Calibri" w:hAnsi="Calibri"/>
          <w:sz w:val="22"/>
        </w:rPr>
        <w:t>Solicitar copia del acta de visita al finalizar.</w:t>
      </w:r>
    </w:p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11. SANCIONES POR INCUMPLIMIENTO</w:t>
      </w:r>
    </w:p>
    <w:p>
      <w:pPr>
        <w:spacing w:after="80"/>
      </w:pPr>
      <w:r>
        <w:rPr>
          <w:rFonts w:ascii="Calibri" w:hAnsi="Calibri"/>
          <w:sz w:val="22"/>
        </w:rPr>
        <w:t>De conformidad con la Ley 9 de 1979, el Decreto 1011 de 2006 y la Resolución 3100 de 2019, las sanciones por incumplimiento de las normas de habilitación pueden incluir: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Tipo de Sanción</w:t>
            </w:r>
          </w:p>
        </w:tc>
        <w:tc>
          <w:tcPr>
            <w:tcW w:type="dxa" w:w="304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04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Norma</w:t>
            </w:r>
          </w:p>
        </w:tc>
      </w:tr>
      <w:tr>
        <w:tc>
          <w:tcPr>
            <w:tcW w:type="dxa" w:w="3041"/>
            <w:shd w:val="clear" w:color="auto" w:fill="FCE4D6"/>
          </w:tcPr>
          <w:p>
            <w:r>
              <w:rPr>
                <w:rFonts w:ascii="Calibri" w:hAnsi="Calibri"/>
                <w:sz w:val="20"/>
              </w:rPr>
              <w:t>Amonestación escrita</w:t>
            </w:r>
          </w:p>
        </w:tc>
        <w:tc>
          <w:tcPr>
            <w:tcW w:type="dxa" w:w="3041"/>
            <w:shd w:val="clear" w:color="auto" w:fill="FCE4D6"/>
          </w:tcPr>
          <w:p>
            <w:r>
              <w:rPr>
                <w:rFonts w:ascii="Calibri" w:hAnsi="Calibri"/>
                <w:sz w:val="20"/>
              </w:rPr>
              <w:t>Primera medida ante hallazgos menores. Se concede plazo para corrección.</w:t>
            </w:r>
          </w:p>
        </w:tc>
        <w:tc>
          <w:tcPr>
            <w:tcW w:type="dxa" w:w="3041"/>
            <w:shd w:val="clear" w:color="auto" w:fill="FCE4D6"/>
          </w:tcPr>
          <w:p>
            <w:r>
              <w:rPr>
                <w:rFonts w:ascii="Calibri" w:hAnsi="Calibri"/>
                <w:sz w:val="20"/>
              </w:rPr>
              <w:t>Ley 9/1979, Res. 3100/2019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Multa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Sanción económica proporcional a la gravedad del incumplimiento.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Ley 9/1979</w:t>
            </w:r>
          </w:p>
        </w:tc>
      </w:tr>
      <w:tr>
        <w:tc>
          <w:tcPr>
            <w:tcW w:type="dxa" w:w="3041"/>
            <w:shd w:val="clear" w:color="auto" w:fill="FCE4D6"/>
          </w:tcPr>
          <w:p>
            <w:r>
              <w:rPr>
                <w:rFonts w:ascii="Calibri" w:hAnsi="Calibri"/>
                <w:sz w:val="20"/>
              </w:rPr>
              <w:t>Suspensión del servicio</w:t>
            </w:r>
          </w:p>
        </w:tc>
        <w:tc>
          <w:tcPr>
            <w:tcW w:type="dxa" w:w="3041"/>
            <w:shd w:val="clear" w:color="auto" w:fill="FCE4D6"/>
          </w:tcPr>
          <w:p>
            <w:r>
              <w:rPr>
                <w:rFonts w:ascii="Calibri" w:hAnsi="Calibri"/>
                <w:sz w:val="20"/>
              </w:rPr>
              <w:t>Cierre temporal del servicio hasta que se subsanen las condiciones que generaron el riesgo.</w:t>
            </w:r>
          </w:p>
        </w:tc>
        <w:tc>
          <w:tcPr>
            <w:tcW w:type="dxa" w:w="3041"/>
            <w:shd w:val="clear" w:color="auto" w:fill="FCE4D6"/>
          </w:tcPr>
          <w:p>
            <w:r>
              <w:rPr>
                <w:rFonts w:ascii="Calibri" w:hAnsi="Calibri"/>
                <w:sz w:val="20"/>
              </w:rPr>
              <w:t>Res. 3100/2019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Clausura definitiva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Cierre definitivo del establecimiento en casos de incumplimiento grave o reiterativo.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Ley 9/1979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t xml:space="preserve">Versión 1.0 | Junio 2025 | Página </w:t>
    </w:r>
    <w:r>
      <w:rPr>
        <w:rFonts w:ascii="Calibri" w:hAnsi="Calibri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003366"/>
        <w:sz w:val="18"/>
      </w:rPr>
      <w:t>MANUAL DE HABILITACIÓN DE SERVICIOS DE SALUD | MAN-HAB-001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