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CONSULTORIO MÉDICO</w:t>
      </w:r>
    </w:p>
    <w:p>
      <w:pPr>
        <w:jc w:val="center"/>
      </w:pPr>
      <w:r>
        <w:rPr>
          <w:b/>
          <w:color w:val="1F497D"/>
          <w:sz w:val="36"/>
        </w:rPr>
        <w:t>[NOMBRE DEL CONSULTORIO]</w:t>
      </w:r>
    </w:p>
    <w:p/>
    <w:p/>
    <w:p>
      <w:pPr>
        <w:jc w:val="center"/>
      </w:pPr>
      <w:r>
        <w:rPr>
          <w:b/>
          <w:color w:val="1F497D"/>
          <w:sz w:val="32"/>
        </w:rPr>
        <w:t>MANUAL DE GESTIÓN DEL TALENTO HUMANO</w:t>
      </w:r>
    </w:p>
    <w:p/>
    <w:tbl>
      <w:tblPr>
        <w:tblStyle w:val="TableGrid"/>
        <w:tblW w:type="auto" w:w="0"/>
        <w:jc w:val="center"/>
        <w:tblLook w:firstColumn="1" w:firstRow="1" w:lastColumn="0" w:lastRow="0" w:noHBand="0" w:noVBand="1" w:val="04A0"/>
      </w:tblPr>
      <w:tblGrid>
        <w:gridCol w:w="4561"/>
        <w:gridCol w:w="4561"/>
      </w:tblGrid>
      <w:tr>
        <w:tc>
          <w:tcPr>
            <w:tcW w:type="dxa" w:w="4561"/>
          </w:tcPr>
          <w:p>
            <w:r>
              <w:rPr>
                <w:sz w:val="22"/>
              </w:rPr>
              <w:t>Código:</w:t>
            </w:r>
          </w:p>
        </w:tc>
        <w:tc>
          <w:tcPr>
            <w:tcW w:type="dxa" w:w="4561"/>
          </w:tcPr>
          <w:p>
            <w:r>
              <w:rPr>
                <w:sz w:val="22"/>
              </w:rPr>
              <w:t>MAN-TH-001</w:t>
            </w:r>
          </w:p>
        </w:tc>
      </w:tr>
      <w:tr>
        <w:tc>
          <w:tcPr>
            <w:tcW w:type="dxa" w:w="4561"/>
          </w:tcPr>
          <w:p>
            <w:r>
              <w:rPr>
                <w:sz w:val="22"/>
              </w:rPr>
              <w:t>Versión:</w:t>
            </w:r>
          </w:p>
        </w:tc>
        <w:tc>
          <w:tcPr>
            <w:tcW w:type="dxa" w:w="4561"/>
          </w:tcPr>
          <w:p>
            <w:r>
              <w:rPr>
                <w:sz w:val="22"/>
              </w:rPr>
              <w:t>1.0</w:t>
            </w:r>
          </w:p>
        </w:tc>
      </w:tr>
      <w:tr>
        <w:tc>
          <w:tcPr>
            <w:tcW w:type="dxa" w:w="4561"/>
          </w:tcPr>
          <w:p>
            <w:r>
              <w:rPr>
                <w:sz w:val="22"/>
              </w:rPr>
              <w:t>Fecha de elaboración:</w:t>
            </w:r>
          </w:p>
        </w:tc>
        <w:tc>
          <w:tcPr>
            <w:tcW w:type="dxa" w:w="4561"/>
          </w:tcPr>
          <w:p>
            <w:r>
              <w:rPr>
                <w:sz w:val="22"/>
              </w:rPr>
              <w:t>07/06/2026</w:t>
            </w:r>
          </w:p>
        </w:tc>
      </w:tr>
      <w:tr>
        <w:tc>
          <w:tcPr>
            <w:tcW w:type="dxa" w:w="4561"/>
          </w:tcPr>
          <w:p>
            <w:r>
              <w:rPr>
                <w:sz w:val="22"/>
              </w:rPr>
              <w:t>Elaborado por:</w:t>
            </w:r>
          </w:p>
        </w:tc>
        <w:tc>
          <w:tcPr>
            <w:tcW w:type="dxa" w:w="4561"/>
          </w:tcPr>
          <w:p>
            <w:r>
              <w:rPr>
                <w:sz w:val="22"/>
              </w:rPr>
              <w:t>[NOMBRE DE LA MÉDICA], Médica General</w:t>
            </w:r>
          </w:p>
        </w:tc>
      </w:tr>
      <w:tr>
        <w:tc>
          <w:tcPr>
            <w:tcW w:type="dxa" w:w="4561"/>
          </w:tcPr>
          <w:p>
            <w:r>
              <w:rPr>
                <w:sz w:val="22"/>
              </w:rPr>
              <w:t>Revisado por:</w:t>
            </w:r>
          </w:p>
        </w:tc>
        <w:tc>
          <w:tcPr>
            <w:tcW w:type="dxa" w:w="4561"/>
          </w:tcPr>
          <w:p>
            <w:r>
              <w:rPr>
                <w:sz w:val="22"/>
              </w:rPr>
              <w:t>[NOMBRE DE LA MÉDICA], Médica General - Propietaria</w:t>
            </w:r>
          </w:p>
        </w:tc>
      </w:tr>
      <w:tr>
        <w:tc>
          <w:tcPr>
            <w:tcW w:type="dxa" w:w="4561"/>
          </w:tcPr>
          <w:p>
            <w:r>
              <w:rPr>
                <w:sz w:val="22"/>
              </w:rPr>
              <w:t>Aprobado por:</w:t>
            </w:r>
          </w:p>
        </w:tc>
        <w:tc>
          <w:tcPr>
            <w:tcW w:type="dxa" w:w="4561"/>
          </w:tcPr>
          <w:p>
            <w:r>
              <w:rPr>
                <w:sz w:val="22"/>
              </w:rPr>
              <w:t>[NOMBRE DE LA MÉDICA], Médica General - Propietaria</w:t>
            </w:r>
          </w:p>
        </w:tc>
      </w:tr>
    </w:tbl>
    <w:p>
      <w:r>
        <w:br w:type="page"/>
      </w:r>
    </w:p>
    <w:p>
      <w:pPr>
        <w:jc w:val="center"/>
      </w:pPr>
      <w:r>
        <w:rPr>
          <w:b/>
          <w:color w:val="1F497D"/>
          <w:sz w:val="26"/>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Descripción del 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rPr>
                <w:sz w:val="20"/>
              </w:rPr>
              <w:t>1.0</w:t>
            </w:r>
          </w:p>
        </w:tc>
        <w:tc>
          <w:tcPr>
            <w:tcW w:type="dxa" w:w="1824"/>
          </w:tcPr>
          <w:p>
            <w:r>
              <w:rPr>
                <w:sz w:val="20"/>
              </w:rPr>
              <w:t>07/06/2026</w:t>
            </w:r>
          </w:p>
        </w:tc>
        <w:tc>
          <w:tcPr>
            <w:tcW w:type="dxa" w:w="1824"/>
          </w:tcPr>
          <w:p>
            <w:r>
              <w:rPr>
                <w:sz w:val="20"/>
              </w:rPr>
              <w:t>Versión inicial del documento</w:t>
            </w:r>
          </w:p>
        </w:tc>
        <w:tc>
          <w:tcPr>
            <w:tcW w:type="dxa" w:w="1824"/>
          </w:tcPr>
          <w:p>
            <w:r>
              <w:rPr>
                <w:sz w:val="20"/>
              </w:rPr>
              <w:t>[NOMBRE DE LA MÉDICA]</w:t>
            </w:r>
          </w:p>
        </w:tc>
        <w:tc>
          <w:tcPr>
            <w:tcW w:type="dxa" w:w="1824"/>
          </w:tcPr>
          <w:p>
            <w:r>
              <w:rPr>
                <w:sz w:val="20"/>
              </w:rPr>
              <w:t>[NOMBRE DE LA MÉDICA]</w:t>
            </w:r>
          </w:p>
        </w:tc>
      </w:tr>
      <w:tr>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r>
      <w:tr>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c>
          <w:tcPr>
            <w:tcW w:type="dxa" w:w="1824"/>
          </w:tcPr>
          <w:p>
            <w:r>
              <w:rPr>
                <w:sz w:val="20"/>
              </w:rPr>
            </w:r>
          </w:p>
        </w:tc>
      </w:tr>
    </w:tbl>
    <w:p>
      <w:r>
        <w:br w:type="page"/>
      </w:r>
    </w:p>
    <w:p>
      <w:pPr>
        <w:jc w:val="center"/>
      </w:pPr>
      <w:r>
        <w:rPr>
          <w:b/>
          <w:color w:val="1F497D"/>
          <w:sz w:val="26"/>
        </w:rPr>
        <w:t>TABLA DE CONTENIDO</w:t>
      </w:r>
    </w:p>
    <w:p>
      <w:pPr>
        <w:pStyle w:val="ListNumber"/>
      </w:pPr>
      <w:r>
        <w:rPr>
          <w:sz w:val="22"/>
        </w:rPr>
        <w:t>1. Objetivo</w:t>
      </w:r>
    </w:p>
    <w:p>
      <w:pPr>
        <w:pStyle w:val="ListNumber"/>
      </w:pPr>
      <w:r>
        <w:rPr>
          <w:sz w:val="22"/>
        </w:rPr>
        <w:t>2. Alcance</w:t>
      </w:r>
    </w:p>
    <w:p>
      <w:pPr>
        <w:pStyle w:val="ListNumber"/>
      </w:pPr>
      <w:r>
        <w:rPr>
          <w:sz w:val="22"/>
        </w:rPr>
        <w:t>3. Marco Legal</w:t>
      </w:r>
    </w:p>
    <w:p>
      <w:pPr>
        <w:pStyle w:val="ListNumber"/>
      </w:pPr>
      <w:r>
        <w:rPr>
          <w:sz w:val="22"/>
        </w:rPr>
        <w:t>4. Definiciones</w:t>
      </w:r>
    </w:p>
    <w:p>
      <w:pPr>
        <w:pStyle w:val="ListNumber"/>
      </w:pPr>
      <w:r>
        <w:rPr>
          <w:sz w:val="22"/>
        </w:rPr>
        <w:t>5. Política de Talento Humano</w:t>
      </w:r>
    </w:p>
    <w:p>
      <w:pPr>
        <w:pStyle w:val="ListNumber"/>
      </w:pPr>
      <w:r>
        <w:rPr>
          <w:sz w:val="22"/>
        </w:rPr>
        <w:t>6. Estructura Organizacional</w:t>
      </w:r>
    </w:p>
    <w:p>
      <w:pPr>
        <w:pStyle w:val="ListNumber"/>
      </w:pPr>
      <w:r>
        <w:rPr>
          <w:sz w:val="22"/>
        </w:rPr>
        <w:t>7. Proceso de Selección y Vinculación</w:t>
      </w:r>
    </w:p>
    <w:p>
      <w:pPr>
        <w:pStyle w:val="ListNumber"/>
      </w:pPr>
      <w:r>
        <w:rPr>
          <w:sz w:val="22"/>
        </w:rPr>
        <w:t>8. Inducción y Reinducción</w:t>
      </w:r>
    </w:p>
    <w:p>
      <w:pPr>
        <w:pStyle w:val="ListNumber"/>
      </w:pPr>
      <w:r>
        <w:rPr>
          <w:sz w:val="22"/>
        </w:rPr>
        <w:t>9. Evaluación de Competencias</w:t>
      </w:r>
    </w:p>
    <w:p>
      <w:pPr>
        <w:pStyle w:val="ListNumber"/>
      </w:pPr>
      <w:r>
        <w:rPr>
          <w:sz w:val="22"/>
        </w:rPr>
        <w:t>10. Educación Continuada</w:t>
      </w:r>
    </w:p>
    <w:p>
      <w:pPr>
        <w:pStyle w:val="ListNumber"/>
      </w:pPr>
      <w:r>
        <w:rPr>
          <w:sz w:val="22"/>
        </w:rPr>
        <w:t>11. Gestión de Turnos y Disponibilidad</w:t>
      </w:r>
    </w:p>
    <w:p>
      <w:pPr>
        <w:pStyle w:val="ListNumber"/>
      </w:pPr>
      <w:r>
        <w:rPr>
          <w:sz w:val="22"/>
        </w:rPr>
        <w:t>12. Bienestar Laboral</w:t>
      </w:r>
    </w:p>
    <w:p>
      <w:pPr>
        <w:pStyle w:val="ListNumber"/>
      </w:pPr>
      <w:r>
        <w:rPr>
          <w:sz w:val="22"/>
        </w:rPr>
        <w:t>13. Manejo de Situaciones Especiales</w:t>
      </w:r>
    </w:p>
    <w:p>
      <w:pPr>
        <w:pStyle w:val="ListNumber"/>
      </w:pPr>
      <w:r>
        <w:rPr>
          <w:sz w:val="22"/>
        </w:rPr>
        <w:t>14. Responsables</w:t>
      </w:r>
    </w:p>
    <w:p>
      <w:pPr>
        <w:pStyle w:val="ListNumber"/>
      </w:pPr>
      <w:r>
        <w:rPr>
          <w:sz w:val="22"/>
        </w:rPr>
        <w:t>15. Indicadores</w:t>
      </w:r>
    </w:p>
    <w:p>
      <w:pPr>
        <w:pStyle w:val="ListNumber"/>
      </w:pPr>
      <w:r>
        <w:rPr>
          <w:sz w:val="22"/>
        </w:rPr>
        <w:t>16. Anexos</w:t>
      </w:r>
    </w:p>
    <w:p>
      <w:r>
        <w:br w:type="page"/>
      </w:r>
    </w:p>
    <w:p>
      <w:pPr>
        <w:pStyle w:val="Heading1"/>
      </w:pPr>
      <w:r>
        <w:rPr>
          <w:b/>
          <w:color w:val="1F497D"/>
          <w:sz w:val="28"/>
        </w:rPr>
        <w:t>1. OBJETIVO</w:t>
      </w:r>
    </w:p>
    <w:p>
      <w:pPr>
        <w:jc w:val="both"/>
      </w:pPr>
      <w:r>
        <w:rPr>
          <w:rFonts w:ascii="Calibri" w:hAnsi="Calibri"/>
          <w:b w:val="0"/>
          <w:sz w:val="22"/>
        </w:rPr>
        <w:t>Establecer los lineamientos, políticas, procedimientos y criterios para la gestión integral del talento humano del Consultorio Médico [NOMBRE DEL CONSULTORIO], garantizando que el personal cuente con las competencias, idoneidad y condiciones necesarias para brindar una atención médica de calidad, segura y humanizada a los pacientes, cumpliendo con todos los requisitos establecidos en la Resolución 3100 de 2019 del Ministerio de Salud y Protección Social de Colombia y demás normatividad vigente aplicable.</w:t>
      </w:r>
    </w:p>
    <w:p>
      <w:pPr>
        <w:jc w:val="both"/>
      </w:pPr>
      <w:r>
        <w:rPr>
          <w:rFonts w:ascii="Calibri" w:hAnsi="Calibri"/>
          <w:b w:val="0"/>
          <w:sz w:val="22"/>
        </w:rPr>
        <w:t>Este manual busca asegurar que el recurso humano del consultorio sea seleccionado, vinculado, capacitado y evaluado bajo criterios técnicos y legales que garanticen la prestación segura y efectiva de los servicios de salud, incluyendo los servicios de medicina general y los procedimientos estéticos no invasivos dentro del marco legal permitido para médicos generales.</w:t>
      </w:r>
    </w:p>
    <w:p>
      <w:pPr>
        <w:pStyle w:val="Heading1"/>
      </w:pPr>
      <w:r>
        <w:rPr>
          <w:b/>
          <w:color w:val="1F497D"/>
          <w:sz w:val="28"/>
        </w:rPr>
        <w:t>2. ALCANCE</w:t>
      </w:r>
    </w:p>
    <w:p>
      <w:pPr>
        <w:jc w:val="both"/>
      </w:pPr>
      <w:r>
        <w:rPr>
          <w:rFonts w:ascii="Calibri" w:hAnsi="Calibri"/>
          <w:b w:val="0"/>
          <w:sz w:val="22"/>
        </w:rPr>
        <w:t>El presente manual aplica a:</w:t>
      </w:r>
    </w:p>
    <w:p>
      <w:pPr>
        <w:pStyle w:val="ListBullet"/>
        <w:jc w:val="both"/>
      </w:pPr>
      <w:r>
        <w:rPr>
          <w:rFonts w:ascii="Calibri" w:hAnsi="Calibri"/>
          <w:sz w:val="22"/>
        </w:rPr>
        <w:t>La médica general propietaria del consultorio: [NOMBRE DE LA MÉDICA]</w:t>
      </w:r>
    </w:p>
    <w:p>
      <w:pPr>
        <w:pStyle w:val="ListBullet"/>
        <w:jc w:val="both"/>
      </w:pPr>
      <w:r>
        <w:rPr>
          <w:rFonts w:ascii="Calibri" w:hAnsi="Calibri"/>
          <w:sz w:val="22"/>
        </w:rPr>
        <w:t>Todo el personal de apoyo administrativo y/o asistencial que preste sus servicios en el consultorio, de manera directa o indirecta</w:t>
      </w:r>
    </w:p>
    <w:p>
      <w:pPr>
        <w:pStyle w:val="ListBullet"/>
        <w:jc w:val="both"/>
      </w:pPr>
      <w:r>
        <w:rPr>
          <w:rFonts w:ascii="Calibri" w:hAnsi="Calibri"/>
          <w:sz w:val="22"/>
        </w:rPr>
        <w:t>El proceso de selección, vinculación, inducción, capacitación y evaluación de todo el talento humano</w:t>
      </w:r>
    </w:p>
    <w:p>
      <w:pPr>
        <w:pStyle w:val="ListBullet"/>
        <w:jc w:val="both"/>
      </w:pPr>
      <w:r>
        <w:rPr>
          <w:rFonts w:ascii="Calibri" w:hAnsi="Calibri"/>
          <w:sz w:val="22"/>
        </w:rPr>
        <w:t>Los servicios habilitados: Consulta de Medicina General y Procedimientos Estéticos No Invasivos</w:t>
      </w:r>
    </w:p>
    <w:p>
      <w:pPr>
        <w:pStyle w:val="ListBullet"/>
        <w:jc w:val="both"/>
      </w:pPr>
      <w:r>
        <w:rPr>
          <w:rFonts w:ascii="Calibri" w:hAnsi="Calibri"/>
          <w:sz w:val="22"/>
        </w:rPr>
        <w:t>El sitio de atención: [DIRECCIÓN DEL CONSULTORIO], [CIUDAD]</w:t>
      </w:r>
    </w:p>
    <w:p>
      <w:pPr>
        <w:pStyle w:val="Heading1"/>
      </w:pPr>
      <w:r>
        <w:rPr>
          <w:b/>
          <w:color w:val="1F497D"/>
          <w:sz w:val="28"/>
        </w:rPr>
        <w:t>3. MARCO LEGAL</w:t>
      </w:r>
    </w:p>
    <w:p>
      <w:pPr>
        <w:jc w:val="both"/>
      </w:pPr>
      <w:r>
        <w:rPr>
          <w:rFonts w:ascii="Calibri" w:hAnsi="Calibri"/>
          <w:b w:val="0"/>
          <w:sz w:val="22"/>
        </w:rPr>
        <w:t>El presente manual se fundamenta en la siguiente normatividad colombiana vigente:</w:t>
      </w:r>
    </w:p>
    <w:tbl>
      <w:tblPr>
        <w:tblStyle w:val="TableGrid"/>
        <w:tblW w:type="auto" w:w="0"/>
        <w:tblLook w:firstColumn="1" w:firstRow="1" w:lastColumn="0" w:lastRow="0" w:noHBand="0" w:noVBand="1" w:val="04A0"/>
      </w:tblPr>
      <w:tblGrid>
        <w:gridCol w:w="4561"/>
        <w:gridCol w:w="4561"/>
      </w:tblGrid>
      <w:tr>
        <w:tc>
          <w:tcPr>
            <w:tcW w:type="dxa" w:w="4561"/>
            <w:shd w:fill="1F497D" w:color="auto" w:val="clear"/>
          </w:tcPr>
          <w:p>
            <w:pPr>
              <w:jc w:val="center"/>
            </w:pPr>
            <w:r/>
            <w:r>
              <w:rPr>
                <w:b/>
                <w:color w:val="FFFFFF"/>
                <w:sz w:val="20"/>
              </w:rPr>
              <w:t>Norma</w:t>
            </w:r>
          </w:p>
        </w:tc>
        <w:tc>
          <w:tcPr>
            <w:tcW w:type="dxa" w:w="4561"/>
            <w:shd w:fill="1F497D" w:color="auto" w:val="clear"/>
          </w:tcPr>
          <w:p>
            <w:pPr>
              <w:jc w:val="center"/>
            </w:pPr>
            <w:r/>
            <w:r>
              <w:rPr>
                <w:b/>
                <w:color w:val="FFFFFF"/>
                <w:sz w:val="20"/>
              </w:rPr>
              <w:t>Descripción</w:t>
            </w:r>
          </w:p>
        </w:tc>
      </w:tr>
      <w:tr>
        <w:tc>
          <w:tcPr>
            <w:tcW w:type="dxa" w:w="4561"/>
          </w:tcPr>
          <w:p>
            <w:r>
              <w:rPr>
                <w:sz w:val="20"/>
              </w:rPr>
              <w:t>Ley 100 de 1993</w:t>
            </w:r>
          </w:p>
        </w:tc>
        <w:tc>
          <w:tcPr>
            <w:tcW w:type="dxa" w:w="4561"/>
          </w:tcPr>
          <w:p>
            <w:r>
              <w:rPr>
                <w:sz w:val="20"/>
              </w:rPr>
              <w:t>Por la cual se crea el Sistema General de Seguridad Social en Salud en Colombia. Establece las bases para la organización y prestación de servicios de salud, incluyendo los criterios de calidad y los requisitos para los prestadores de servicios de salud.</w:t>
            </w:r>
          </w:p>
        </w:tc>
      </w:tr>
      <w:tr>
        <w:tc>
          <w:tcPr>
            <w:tcW w:type="dxa" w:w="4561"/>
          </w:tcPr>
          <w:p>
            <w:r>
              <w:rPr>
                <w:sz w:val="20"/>
              </w:rPr>
              <w:t>Ley 23 de 1981</w:t>
            </w:r>
          </w:p>
        </w:tc>
        <w:tc>
          <w:tcPr>
            <w:tcW w:type="dxa" w:w="4561"/>
          </w:tcPr>
          <w:p>
            <w:r>
              <w:rPr>
                <w:sz w:val="20"/>
              </w:rPr>
              <w:t>Por la cual se dictan normas en materia de ética médica. Establece los deberes y obligaciones del médico en el ejercicio de su profesión, los principios de la relación médico-paciente y los estándares de conducta profesional.</w:t>
            </w:r>
          </w:p>
        </w:tc>
      </w:tr>
      <w:tr>
        <w:tc>
          <w:tcPr>
            <w:tcW w:type="dxa" w:w="4561"/>
          </w:tcPr>
          <w:p>
            <w:r>
              <w:rPr>
                <w:sz w:val="20"/>
              </w:rPr>
              <w:t>Ley 14 de 1962</w:t>
            </w:r>
          </w:p>
        </w:tc>
        <w:tc>
          <w:tcPr>
            <w:tcW w:type="dxa" w:w="4561"/>
          </w:tcPr>
          <w:p>
            <w:r>
              <w:rPr>
                <w:sz w:val="20"/>
              </w:rPr>
              <w:t>Por la cual se dictan normas relativas al ejercicio de la medicina y cirugía. Regula el ejercicio profesional de la medicina en Colombia, estableciendo los requisitos de habilitación profesional.</w:t>
            </w:r>
          </w:p>
        </w:tc>
      </w:tr>
      <w:tr>
        <w:tc>
          <w:tcPr>
            <w:tcW w:type="dxa" w:w="4561"/>
          </w:tcPr>
          <w:p>
            <w:r>
              <w:rPr>
                <w:sz w:val="20"/>
              </w:rPr>
              <w:t>Decreto 3380 de 1981</w:t>
            </w:r>
          </w:p>
        </w:tc>
        <w:tc>
          <w:tcPr>
            <w:tcW w:type="dxa" w:w="4561"/>
          </w:tcPr>
          <w:p>
            <w:r>
              <w:rPr>
                <w:sz w:val="20"/>
              </w:rPr>
              <w:t>Por el cual se reglamenta la Ley 23 de 1981. Define con precisión los conceptos de acto médico, prescripción médica y los límites de la práctica médica.</w:t>
            </w:r>
          </w:p>
        </w:tc>
      </w:tr>
      <w:tr>
        <w:tc>
          <w:tcPr>
            <w:tcW w:type="dxa" w:w="4561"/>
          </w:tcPr>
          <w:p>
            <w:r>
              <w:rPr>
                <w:sz w:val="20"/>
              </w:rPr>
              <w:t>Decreto 1011 de 2006</w:t>
            </w:r>
          </w:p>
        </w:tc>
        <w:tc>
          <w:tcPr>
            <w:tcW w:type="dxa" w:w="4561"/>
          </w:tcPr>
          <w:p>
            <w:r>
              <w:rPr>
                <w:sz w:val="20"/>
              </w:rPr>
              <w:t>Por el cual se establece el Sistema Obligatorio de Garantía de Calidad de la Atención de Salud del Sistema General de Seguridad Social en Salud (SOGCS). Define los componentes del sistema de garantía de calidad, incluyendo el Sistema Único de Habilitación.</w:t>
            </w:r>
          </w:p>
        </w:tc>
      </w:tr>
      <w:tr>
        <w:tc>
          <w:tcPr>
            <w:tcW w:type="dxa" w:w="4561"/>
          </w:tcPr>
          <w:p>
            <w:r>
              <w:rPr>
                <w:sz w:val="20"/>
              </w:rPr>
              <w:t>Resolución 3100 de 2019</w:t>
            </w:r>
          </w:p>
        </w:tc>
        <w:tc>
          <w:tcPr>
            <w:tcW w:type="dxa" w:w="4561"/>
          </w:tcPr>
          <w:p>
            <w:r>
              <w:rPr>
                <w:sz w:val="20"/>
              </w:rPr>
              <w:t>Por la cual se definen los procedimientos y condiciones de inscripción de los prestadores de servicios de salud y de habilitación de los servicios de salud. Establece los estándares mínimos de habilitación, incluyendo los requisitos de talento humano para cada servicio.</w:t>
            </w:r>
          </w:p>
        </w:tc>
      </w:tr>
      <w:tr>
        <w:tc>
          <w:tcPr>
            <w:tcW w:type="dxa" w:w="4561"/>
          </w:tcPr>
          <w:p>
            <w:r>
              <w:rPr>
                <w:sz w:val="20"/>
              </w:rPr>
              <w:t>Resolución 2003 de 2014</w:t>
            </w:r>
          </w:p>
        </w:tc>
        <w:tc>
          <w:tcPr>
            <w:tcW w:type="dxa" w:w="4561"/>
          </w:tcPr>
          <w:p>
            <w:r>
              <w:rPr>
                <w:sz w:val="20"/>
              </w:rPr>
              <w:t>Por la cual se definen los procedimientos y condiciones de inscripción de los prestadores de servicios de salud. Normativa predecesora que aún sirve de referencia para muchos estándares de habilitación.</w:t>
            </w:r>
          </w:p>
        </w:tc>
      </w:tr>
      <w:tr>
        <w:tc>
          <w:tcPr>
            <w:tcW w:type="dxa" w:w="4561"/>
          </w:tcPr>
          <w:p>
            <w:r>
              <w:rPr>
                <w:sz w:val="20"/>
              </w:rPr>
              <w:t>Decreto 1072 de 2015</w:t>
            </w:r>
          </w:p>
        </w:tc>
        <w:tc>
          <w:tcPr>
            <w:tcW w:type="dxa" w:w="4561"/>
          </w:tcPr>
          <w:p>
            <w:r>
              <w:rPr>
                <w:sz w:val="20"/>
              </w:rPr>
              <w:t>Decreto Único Reglamentario del Sector Trabajo. Establece las normas generales de las relaciones laborales en Colombia, aplicables al personal del consultorio.</w:t>
            </w:r>
          </w:p>
        </w:tc>
      </w:tr>
      <w:tr>
        <w:tc>
          <w:tcPr>
            <w:tcW w:type="dxa" w:w="4561"/>
          </w:tcPr>
          <w:p>
            <w:r>
              <w:rPr>
                <w:sz w:val="20"/>
              </w:rPr>
              <w:t>Ley 1562 de 2012</w:t>
            </w:r>
          </w:p>
        </w:tc>
        <w:tc>
          <w:tcPr>
            <w:tcW w:type="dxa" w:w="4561"/>
          </w:tcPr>
          <w:p>
            <w:r>
              <w:rPr>
                <w:sz w:val="20"/>
              </w:rPr>
              <w:t>Por la cual se modifica el sistema de riesgos laborales. Establece las obligaciones del empleador en materia de seguridad y salud en el trabajo.</w:t>
            </w:r>
          </w:p>
        </w:tc>
      </w:tr>
      <w:tr>
        <w:tc>
          <w:tcPr>
            <w:tcW w:type="dxa" w:w="4561"/>
          </w:tcPr>
          <w:p>
            <w:r>
              <w:rPr>
                <w:sz w:val="20"/>
              </w:rPr>
              <w:t>Resolución 0256 de 2016</w:t>
            </w:r>
          </w:p>
        </w:tc>
        <w:tc>
          <w:tcPr>
            <w:tcW w:type="dxa" w:w="4561"/>
          </w:tcPr>
          <w:p>
            <w:r>
              <w:rPr>
                <w:sz w:val="20"/>
              </w:rPr>
              <w:t>Por la cual se dictan disposiciones en relación con el Sistema de Información para la Calidad. Define los indicadores de calidad de los servicios de salud que deben ser medidos y reportados.</w:t>
            </w:r>
          </w:p>
        </w:tc>
      </w:tr>
    </w:tbl>
    <w:p/>
    <w:p>
      <w:pPr>
        <w:pStyle w:val="Heading1"/>
      </w:pPr>
      <w:r>
        <w:rPr>
          <w:b/>
          <w:color w:val="1F497D"/>
          <w:sz w:val="28"/>
        </w:rPr>
        <w:t>4. DEFINICIONES Y TERMINOLOGÍA</w:t>
      </w:r>
    </w:p>
    <w:p>
      <w:pPr>
        <w:jc w:val="both"/>
      </w:pPr>
      <w:r>
        <w:rPr>
          <w:b/>
          <w:sz w:val="22"/>
        </w:rPr>
        <w:t xml:space="preserve">Talento Humano en Salud: </w:t>
      </w:r>
      <w:r>
        <w:rPr>
          <w:sz w:val="22"/>
        </w:rPr>
        <w:t>Conjunto de personas que ejercen una ocupación relacionada con la prestación de servicios de salud, ya sea en el campo asistencial, administrativo, de investigación o de formación.</w:t>
      </w:r>
    </w:p>
    <w:p>
      <w:pPr>
        <w:jc w:val="both"/>
      </w:pPr>
      <w:r>
        <w:rPr>
          <w:b/>
          <w:sz w:val="22"/>
        </w:rPr>
        <w:t xml:space="preserve">Habilitación: </w:t>
      </w:r>
      <w:r>
        <w:rPr>
          <w:sz w:val="22"/>
        </w:rPr>
        <w:t>Proceso mediante el cual el Estado verifica el cumplimiento de las condiciones mínimas de capacidad tecnológica y científica, de suficiencia patrimonial y financiera y de capacidad técnico-administrativa para la entrada y permanencia en el mercado de la prestación de servicios de salud.</w:t>
      </w:r>
    </w:p>
    <w:p>
      <w:pPr>
        <w:jc w:val="both"/>
      </w:pPr>
      <w:r>
        <w:rPr>
          <w:b/>
          <w:sz w:val="22"/>
        </w:rPr>
        <w:t xml:space="preserve">Competencia: </w:t>
      </w:r>
      <w:r>
        <w:rPr>
          <w:sz w:val="22"/>
        </w:rPr>
        <w:t>Capacidad de aplicar conocimientos, habilidades y actitudes en el desempeño de una función productiva, de acuerdo con criterios de desempeño y evidencias requeridas.</w:t>
      </w:r>
    </w:p>
    <w:p>
      <w:pPr>
        <w:jc w:val="both"/>
      </w:pPr>
      <w:r>
        <w:rPr>
          <w:b/>
          <w:sz w:val="22"/>
        </w:rPr>
        <w:t xml:space="preserve">Médico General: </w:t>
      </w:r>
      <w:r>
        <w:rPr>
          <w:sz w:val="22"/>
        </w:rPr>
        <w:t>Profesional graduado en medicina con título universitario reconocido por el Estado colombiano, con Tarjeta Profesional vigente expedida por el Tribunal Ético de Medicina.</w:t>
      </w:r>
    </w:p>
    <w:p>
      <w:pPr>
        <w:jc w:val="both"/>
      </w:pPr>
      <w:r>
        <w:rPr>
          <w:b/>
          <w:sz w:val="22"/>
        </w:rPr>
        <w:t xml:space="preserve">Inducción: </w:t>
      </w:r>
      <w:r>
        <w:rPr>
          <w:sz w:val="22"/>
        </w:rPr>
        <w:t>Proceso mediante el cual se suministra al trabajador nuevo o reincorporado, información necesaria sobre la institución, sus funciones, responsabilidades y el entorno laboral.</w:t>
      </w:r>
    </w:p>
    <w:p>
      <w:pPr>
        <w:jc w:val="both"/>
      </w:pPr>
      <w:r>
        <w:rPr>
          <w:b/>
          <w:sz w:val="22"/>
        </w:rPr>
        <w:t xml:space="preserve">Reinducción: </w:t>
      </w:r>
      <w:r>
        <w:rPr>
          <w:sz w:val="22"/>
        </w:rPr>
        <w:t>Proceso de actualización y refrescamiento sobre las políticas, procedimientos y cambios organizacionales que se realiza periódicamente a todo el personal.</w:t>
      </w:r>
    </w:p>
    <w:p>
      <w:pPr>
        <w:jc w:val="both"/>
      </w:pPr>
      <w:r>
        <w:rPr>
          <w:b/>
          <w:sz w:val="22"/>
        </w:rPr>
        <w:t xml:space="preserve">Educación Continuada: </w:t>
      </w:r>
      <w:r>
        <w:rPr>
          <w:sz w:val="22"/>
        </w:rPr>
        <w:t>Proceso sistemático y permanente de actualización de conocimientos, habilidades y actitudes del personal de salud, orientado a mejorar la calidad de la atención.</w:t>
      </w:r>
    </w:p>
    <w:p>
      <w:pPr>
        <w:jc w:val="both"/>
      </w:pPr>
      <w:r>
        <w:rPr>
          <w:b/>
          <w:sz w:val="22"/>
        </w:rPr>
        <w:t xml:space="preserve">Evaluación de Desempeño: </w:t>
      </w:r>
      <w:r>
        <w:rPr>
          <w:sz w:val="22"/>
        </w:rPr>
        <w:t>Proceso sistemático y periódico de estimación cuantitativa y cualitativa del grado de eficacia con que las personas llevan a cabo las actividades y responsabilidades de los puestos que desempeñan.</w:t>
      </w:r>
    </w:p>
    <w:p>
      <w:pPr>
        <w:jc w:val="both"/>
      </w:pPr>
      <w:r>
        <w:rPr>
          <w:b/>
          <w:sz w:val="22"/>
        </w:rPr>
        <w:t xml:space="preserve">RETHUS: </w:t>
      </w:r>
      <w:r>
        <w:rPr>
          <w:sz w:val="22"/>
        </w:rPr>
        <w:t>Registro Único Nacional del Talento Humano en Salud. Sistema de información que registra y certifica los datos de formación y experiencia del talento humano en salud en Colombia.</w:t>
      </w:r>
    </w:p>
    <w:p>
      <w:pPr>
        <w:jc w:val="both"/>
      </w:pPr>
      <w:r>
        <w:rPr>
          <w:b/>
          <w:sz w:val="22"/>
        </w:rPr>
        <w:t xml:space="preserve">Tarjeta Profesional: </w:t>
      </w:r>
      <w:r>
        <w:rPr>
          <w:sz w:val="22"/>
        </w:rPr>
        <w:t>Documento expedido por el Tribunal Ético de Medicina que habilita al médico para ejercer legalmente la profesión en Colombia.</w:t>
      </w:r>
    </w:p>
    <w:p/>
    <w:p>
      <w:pPr>
        <w:pStyle w:val="Heading1"/>
      </w:pPr>
      <w:r>
        <w:rPr>
          <w:b/>
          <w:color w:val="1F497D"/>
          <w:sz w:val="28"/>
        </w:rPr>
        <w:t>5. POLÍTICA DE TALENTO HUMANO</w:t>
      </w:r>
    </w:p>
    <w:p>
      <w:pPr>
        <w:jc w:val="both"/>
      </w:pPr>
      <w:r>
        <w:rPr>
          <w:rFonts w:ascii="Calibri" w:hAnsi="Calibri"/>
          <w:b w:val="0"/>
          <w:sz w:val="22"/>
        </w:rPr>
        <w:t>El Consultorio Médico [NOMBRE DEL CONSULTORIO], bajo la dirección de la Dra. [NOMBRE DE LA MÉDICA], se compromete a mantener un talento humano altamente calificado, ético y comprometido con la excelencia en la prestación de servicios de salud. Esta política se fundamenta en los siguientes principios:</w:t>
      </w:r>
    </w:p>
    <w:p>
      <w:pPr>
        <w:pStyle w:val="Heading2"/>
      </w:pPr>
      <w:r>
        <w:rPr>
          <w:b/>
          <w:color w:val="2E74B5"/>
          <w:sz w:val="24"/>
        </w:rPr>
        <w:t>5.1 Principios Rectores de la Política de Talento Humano</w:t>
      </w:r>
    </w:p>
    <w:p>
      <w:pPr>
        <w:ind w:left="283"/>
        <w:jc w:val="both"/>
      </w:pPr>
      <w:r>
        <w:rPr>
          <w:b/>
          <w:sz w:val="22"/>
        </w:rPr>
        <w:t xml:space="preserve">• Idoneidad y Competencia: </w:t>
      </w:r>
      <w:r>
        <w:rPr>
          <w:sz w:val="22"/>
        </w:rPr>
        <w:t>Todo el personal que preste servicios en el consultorio debe contar con la formación, títulos, certificaciones y competencias necesarias para el desempeño de sus funciones, en cumplimiento de la Resolución 3100 de 2019.</w:t>
      </w:r>
    </w:p>
    <w:p>
      <w:pPr>
        <w:ind w:left="283"/>
        <w:jc w:val="both"/>
      </w:pPr>
      <w:r>
        <w:rPr>
          <w:b/>
          <w:sz w:val="22"/>
        </w:rPr>
        <w:t xml:space="preserve">• Ética Profesional: </w:t>
      </w:r>
      <w:r>
        <w:rPr>
          <w:sz w:val="22"/>
        </w:rPr>
        <w:t>El ejercicio de las funciones debe estar guiado por los principios éticos establecidos en la Ley 23 de 1981 y el Código de Ética Médica, garantizando siempre el bienestar del paciente.</w:t>
      </w:r>
    </w:p>
    <w:p>
      <w:pPr>
        <w:ind w:left="283"/>
        <w:jc w:val="both"/>
      </w:pPr>
      <w:r>
        <w:rPr>
          <w:b/>
          <w:sz w:val="22"/>
        </w:rPr>
        <w:t xml:space="preserve">• Actualización Permanente: </w:t>
      </w:r>
      <w:r>
        <w:rPr>
          <w:sz w:val="22"/>
        </w:rPr>
        <w:t>El consultorio promueve y facilita la educación continuada del personal, reconociendo que el conocimiento médico evoluciona constantemente y que la actualización es un deber ético y legal.</w:t>
      </w:r>
    </w:p>
    <w:p>
      <w:pPr>
        <w:ind w:left="283"/>
        <w:jc w:val="both"/>
      </w:pPr>
      <w:r>
        <w:rPr>
          <w:b/>
          <w:sz w:val="22"/>
        </w:rPr>
        <w:t xml:space="preserve">• Bienestar Laboral: </w:t>
      </w:r>
      <w:r>
        <w:rPr>
          <w:sz w:val="22"/>
        </w:rPr>
        <w:t>Se garantizan condiciones de trabajo dignas, seguras y que promuevan el bienestar físico, mental y social del personal, en cumplimiento de la normatividad de riesgos laborales.</w:t>
      </w:r>
    </w:p>
    <w:p>
      <w:pPr>
        <w:ind w:left="283"/>
        <w:jc w:val="both"/>
      </w:pPr>
      <w:r>
        <w:rPr>
          <w:b/>
          <w:sz w:val="22"/>
        </w:rPr>
        <w:t xml:space="preserve">• Mejora Continua: </w:t>
      </w:r>
      <w:r>
        <w:rPr>
          <w:sz w:val="22"/>
        </w:rPr>
        <w:t>Se establecen mecanismos periódicos de evaluación del desempeño y retroalimentación constructiva, orientados a la mejora continua de las competencias del personal.</w:t>
      </w:r>
    </w:p>
    <w:p>
      <w:pPr>
        <w:ind w:left="283"/>
        <w:jc w:val="both"/>
      </w:pPr>
      <w:r>
        <w:rPr>
          <w:b/>
          <w:sz w:val="22"/>
        </w:rPr>
        <w:t xml:space="preserve">• Respeto y Dignidad: </w:t>
      </w:r>
      <w:r>
        <w:rPr>
          <w:sz w:val="22"/>
        </w:rPr>
        <w:t>Las relaciones laborales se rigen por el respeto mutuo, la dignidad humana y la no discriminación por ningún motivo.</w:t>
      </w:r>
    </w:p>
    <w:p>
      <w:pPr>
        <w:pStyle w:val="Heading1"/>
      </w:pPr>
      <w:r>
        <w:rPr>
          <w:b/>
          <w:color w:val="1F497D"/>
          <w:sz w:val="28"/>
        </w:rPr>
        <w:t>6. ESTRUCTURA ORGANIZACIONAL</w:t>
      </w:r>
    </w:p>
    <w:p>
      <w:pPr>
        <w:jc w:val="both"/>
      </w:pPr>
      <w:r>
        <w:rPr>
          <w:rFonts w:ascii="Calibri" w:hAnsi="Calibri"/>
          <w:b w:val="0"/>
          <w:sz w:val="22"/>
        </w:rPr>
        <w:t>El Consultorio Médico [NOMBRE DEL CONSULTORIO] cuenta con la siguiente estructura organizacional para la prestación de sus servicios:</w:t>
      </w:r>
    </w:p>
    <w:p>
      <w:pPr>
        <w:pStyle w:val="Heading2"/>
      </w:pPr>
      <w:r>
        <w:rPr>
          <w:b/>
          <w:color w:val="2E74B5"/>
          <w:sz w:val="24"/>
        </w:rPr>
        <w:t>6.1 Cargos y Funciones</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Cargo</w:t>
            </w:r>
          </w:p>
        </w:tc>
        <w:tc>
          <w:tcPr>
            <w:tcW w:type="dxa" w:w="3041"/>
            <w:shd w:fill="1F497D" w:color="auto" w:val="clear"/>
          </w:tcPr>
          <w:p>
            <w:pPr>
              <w:jc w:val="center"/>
            </w:pPr>
            <w:r/>
            <w:r>
              <w:rPr>
                <w:b/>
                <w:color w:val="FFFFFF"/>
                <w:sz w:val="20"/>
              </w:rPr>
              <w:t>Perfil Requerido</w:t>
            </w:r>
          </w:p>
        </w:tc>
        <w:tc>
          <w:tcPr>
            <w:tcW w:type="dxa" w:w="3041"/>
            <w:shd w:fill="1F497D" w:color="auto" w:val="clear"/>
          </w:tcPr>
          <w:p>
            <w:pPr>
              <w:jc w:val="center"/>
            </w:pPr>
            <w:r/>
            <w:r>
              <w:rPr>
                <w:b/>
                <w:color w:val="FFFFFF"/>
                <w:sz w:val="20"/>
              </w:rPr>
              <w:t>Funciones Principales</w:t>
            </w:r>
          </w:p>
        </w:tc>
      </w:tr>
      <w:tr>
        <w:tc>
          <w:tcPr>
            <w:tcW w:type="dxa" w:w="3041"/>
          </w:tcPr>
          <w:p>
            <w:r>
              <w:rPr>
                <w:sz w:val="18"/>
              </w:rPr>
              <w:t>Médica General - Propietaria</w:t>
              <w:br/>
              <w:t>[NOMBRE DE LA MÉDICA]</w:t>
            </w:r>
          </w:p>
        </w:tc>
        <w:tc>
          <w:tcPr>
            <w:tcW w:type="dxa" w:w="3041"/>
          </w:tcPr>
          <w:p>
            <w:r>
              <w:rPr>
                <w:sz w:val="18"/>
              </w:rPr>
              <w:t>- Título de Médica y Cirujana</w:t>
              <w:br/>
              <w:t>- Tarjeta Profesional vigente</w:t>
              <w:br/>
              <w:t>- Registro RETHUS activo</w:t>
              <w:br/>
              <w:t>- Formación en procedimientos estéticos no invasivos</w:t>
            </w:r>
          </w:p>
        </w:tc>
        <w:tc>
          <w:tcPr>
            <w:tcW w:type="dxa" w:w="3041"/>
          </w:tcPr>
          <w:p>
            <w:r>
              <w:rPr>
                <w:sz w:val="18"/>
              </w:rPr>
              <w:t>- Atención de consultas médicas</w:t>
              <w:br/>
              <w:t>- Realización de procedimientos estéticos no invasivos</w:t>
              <w:br/>
              <w:t>- Gestión del consultorio</w:t>
              <w:br/>
              <w:t>- Supervisión de la calidad</w:t>
            </w:r>
          </w:p>
        </w:tc>
      </w:tr>
      <w:tr>
        <w:tc>
          <w:tcPr>
            <w:tcW w:type="dxa" w:w="3041"/>
          </w:tcPr>
          <w:p>
            <w:r>
              <w:rPr>
                <w:sz w:val="18"/>
              </w:rPr>
              <w:t>Personal Administrativo</w:t>
              <w:br/>
              <w:t>(si aplica)</w:t>
            </w:r>
          </w:p>
        </w:tc>
        <w:tc>
          <w:tcPr>
            <w:tcW w:type="dxa" w:w="3041"/>
          </w:tcPr>
          <w:p>
            <w:r>
              <w:rPr>
                <w:sz w:val="18"/>
              </w:rPr>
              <w:t>- Bachiller o técnico en administración</w:t>
              <w:br/>
              <w:t>- Conocimientos básicos en salud</w:t>
              <w:br/>
              <w:t>- Manejo de sistemas informáticos</w:t>
            </w:r>
          </w:p>
        </w:tc>
        <w:tc>
          <w:tcPr>
            <w:tcW w:type="dxa" w:w="3041"/>
          </w:tcPr>
          <w:p>
            <w:r>
              <w:rPr>
                <w:sz w:val="18"/>
              </w:rPr>
              <w:t>- Agendamiento de citas</w:t>
              <w:br/>
              <w:t>- Facturación</w:t>
              <w:br/>
              <w:t>- Atención al usuario</w:t>
              <w:br/>
              <w:t>- Gestión documental</w:t>
            </w:r>
          </w:p>
        </w:tc>
      </w:tr>
      <w:tr>
        <w:tc>
          <w:tcPr>
            <w:tcW w:type="dxa" w:w="3041"/>
          </w:tcPr>
          <w:p>
            <w:r>
              <w:rPr>
                <w:sz w:val="18"/>
              </w:rPr>
              <w:t>Personal de Apoyo</w:t>
              <w:br/>
              <w:t>(si aplica)</w:t>
            </w:r>
          </w:p>
        </w:tc>
        <w:tc>
          <w:tcPr>
            <w:tcW w:type="dxa" w:w="3041"/>
          </w:tcPr>
          <w:p>
            <w:r>
              <w:rPr>
                <w:sz w:val="18"/>
              </w:rPr>
              <w:t>- Formación en auxiliar de servicios generales</w:t>
              <w:br/>
              <w:t>- Conocimiento en bioseguridad básica</w:t>
            </w:r>
          </w:p>
        </w:tc>
        <w:tc>
          <w:tcPr>
            <w:tcW w:type="dxa" w:w="3041"/>
          </w:tcPr>
          <w:p>
            <w:r>
              <w:rPr>
                <w:sz w:val="18"/>
              </w:rPr>
              <w:t>- Aseo y desinfección</w:t>
              <w:br/>
              <w:t>- Apoyo logístico</w:t>
            </w:r>
          </w:p>
        </w:tc>
      </w:tr>
      <w:tr>
        <w:tc>
          <w:tcPr>
            <w:tcW w:type="dxa" w:w="3041"/>
          </w:tcPr>
          <w:p>
            <w:r>
              <w:rPr>
                <w:sz w:val="18"/>
              </w:rPr>
              <w:t>Proveedor externo de mantenimiento</w:t>
              <w:br/>
              <w:t>(si aplica)</w:t>
            </w:r>
          </w:p>
        </w:tc>
        <w:tc>
          <w:tcPr>
            <w:tcW w:type="dxa" w:w="3041"/>
          </w:tcPr>
          <w:p>
            <w:r>
              <w:rPr>
                <w:sz w:val="18"/>
              </w:rPr>
              <w:t>- Certificaciones técnicas específicas</w:t>
              <w:br/>
              <w:t>- Contratos vigentes</w:t>
            </w:r>
          </w:p>
        </w:tc>
        <w:tc>
          <w:tcPr>
            <w:tcW w:type="dxa" w:w="3041"/>
          </w:tcPr>
          <w:p>
            <w:r>
              <w:rPr>
                <w:sz w:val="18"/>
              </w:rPr>
              <w:t>- Mantenimiento de equipos biomédicos</w:t>
              <w:br/>
              <w:t>- Mantenimiento de instalaciones</w:t>
            </w:r>
          </w:p>
        </w:tc>
      </w:tr>
    </w:tbl>
    <w:p/>
    <w:p>
      <w:pPr>
        <w:pStyle w:val="Heading1"/>
      </w:pPr>
      <w:r>
        <w:rPr>
          <w:b/>
          <w:color w:val="1F497D"/>
          <w:sz w:val="28"/>
        </w:rPr>
        <w:t>7. PROCESO DE SELECCIÓN Y VINCULACIÓN</w:t>
      </w:r>
    </w:p>
    <w:p>
      <w:pPr>
        <w:pStyle w:val="Heading2"/>
      </w:pPr>
      <w:r>
        <w:rPr>
          <w:b/>
          <w:color w:val="2E74B5"/>
          <w:sz w:val="24"/>
        </w:rPr>
        <w:t>7.1 Requisitos Obligatorios de Habilitación</w:t>
      </w:r>
    </w:p>
    <w:p>
      <w:pPr>
        <w:jc w:val="both"/>
      </w:pPr>
      <w:r>
        <w:rPr>
          <w:rFonts w:ascii="Calibri" w:hAnsi="Calibri"/>
          <w:b w:val="0"/>
          <w:sz w:val="22"/>
        </w:rPr>
        <w:t>De acuerdo con la Resolución 3100 de 2019, para el servicio de Consulta de Medicina General, el talento humano debe cumplir con los siguientes requisitos mínimos:</w:t>
      </w:r>
    </w:p>
    <w:p>
      <w:pPr>
        <w:pStyle w:val="ListBullet"/>
        <w:jc w:val="both"/>
      </w:pPr>
      <w:r>
        <w:rPr>
          <w:rFonts w:ascii="Calibri" w:hAnsi="Calibri"/>
          <w:sz w:val="22"/>
        </w:rPr>
        <w:t>Título de Médico y Cirujano otorgado por institución de educación superior legalmente reconocida en Colombia, o título extranjero debidamente revalidado según las normas vigentes.</w:t>
      </w:r>
    </w:p>
    <w:p>
      <w:pPr>
        <w:pStyle w:val="ListBullet"/>
        <w:jc w:val="both"/>
      </w:pPr>
      <w:r>
        <w:rPr>
          <w:rFonts w:ascii="Calibri" w:hAnsi="Calibri"/>
          <w:sz w:val="22"/>
        </w:rPr>
        <w:t>Tarjeta Profesional vigente expedida por el Tribunal Ético de Medicina, sin sanciones disciplinarias vigentes.</w:t>
      </w:r>
    </w:p>
    <w:p>
      <w:pPr>
        <w:pStyle w:val="ListBullet"/>
        <w:jc w:val="both"/>
      </w:pPr>
      <w:r>
        <w:rPr>
          <w:rFonts w:ascii="Calibri" w:hAnsi="Calibri"/>
          <w:sz w:val="22"/>
        </w:rPr>
        <w:t>Inscripción activa y vigente en el Registro Único Nacional del Talento Humano en Salud (RETHUS) del Ministerio de Salud y Protección Social.</w:t>
      </w:r>
    </w:p>
    <w:p>
      <w:pPr>
        <w:pStyle w:val="ListBullet"/>
        <w:jc w:val="both"/>
      </w:pPr>
      <w:r>
        <w:rPr>
          <w:rFonts w:ascii="Calibri" w:hAnsi="Calibri"/>
          <w:sz w:val="22"/>
        </w:rPr>
        <w:t>Certificado de antecedentes disciplinarios emitido por el Tribunal Ético de Medicina, sin sanciones vigentes.</w:t>
      </w:r>
    </w:p>
    <w:p>
      <w:pPr>
        <w:pStyle w:val="ListBullet"/>
        <w:jc w:val="both"/>
      </w:pPr>
      <w:r>
        <w:rPr>
          <w:rFonts w:ascii="Calibri" w:hAnsi="Calibri"/>
          <w:sz w:val="22"/>
        </w:rPr>
        <w:t>Certificado de antecedentes judiciales (Policía Nacional) sin anotaciones que impidan el ejercicio profesional.</w:t>
      </w:r>
    </w:p>
    <w:p>
      <w:pPr>
        <w:pStyle w:val="ListBullet"/>
        <w:jc w:val="both"/>
      </w:pPr>
      <w:r>
        <w:rPr>
          <w:rFonts w:ascii="Calibri" w:hAnsi="Calibri"/>
          <w:sz w:val="22"/>
        </w:rPr>
        <w:t>Certificado de antecedentes fiscales (Contraloría General de la República) sin anotaciones.</w:t>
      </w:r>
    </w:p>
    <w:p>
      <w:pPr>
        <w:pStyle w:val="ListBullet"/>
        <w:jc w:val="both"/>
      </w:pPr>
      <w:r>
        <w:rPr>
          <w:rFonts w:ascii="Calibri" w:hAnsi="Calibri"/>
          <w:sz w:val="22"/>
        </w:rPr>
        <w:t>Certificado de antecedentes en el Registro de Autores, Participes y Determinadores de Procesos Disciplinarios (SIRI) de la Procuraduría General de la Nación.</w:t>
      </w:r>
    </w:p>
    <w:p>
      <w:pPr>
        <w:pStyle w:val="ListBullet"/>
        <w:jc w:val="both"/>
      </w:pPr>
      <w:r>
        <w:rPr>
          <w:rFonts w:ascii="Calibri" w:hAnsi="Calibri"/>
          <w:sz w:val="22"/>
        </w:rPr>
        <w:t>Certificados de formación y capacitación en los procedimientos específicos que realizará (para procedimientos estéticos no invasivos, certificados de los cursos específicos realizados).</w:t>
      </w:r>
    </w:p>
    <w:p>
      <w:pPr>
        <w:pStyle w:val="ListBullet"/>
        <w:jc w:val="both"/>
      </w:pPr>
      <w:r>
        <w:rPr>
          <w:rFonts w:ascii="Calibri" w:hAnsi="Calibri"/>
          <w:sz w:val="22"/>
        </w:rPr>
        <w:t>Tarjeta de vacunación al día (mínimo Hepatitis B, Tétanos, Influenza).</w:t>
      </w:r>
    </w:p>
    <w:p>
      <w:pPr>
        <w:pStyle w:val="ListBullet"/>
        <w:jc w:val="both"/>
      </w:pPr>
      <w:r>
        <w:rPr>
          <w:rFonts w:ascii="Calibri" w:hAnsi="Calibri"/>
          <w:sz w:val="22"/>
        </w:rPr>
        <w:t>Exámenes médicos de ingreso con énfasis osteomusicular y de riesgo biológico.</w:t>
      </w:r>
    </w:p>
    <w:p>
      <w:pPr>
        <w:pStyle w:val="Heading2"/>
      </w:pPr>
      <w:r>
        <w:rPr>
          <w:b/>
          <w:color w:val="2E74B5"/>
          <w:sz w:val="24"/>
        </w:rPr>
        <w:t>7.2 Documentos Adicionales Requeridos</w:t>
      </w:r>
    </w:p>
    <w:p>
      <w:pPr>
        <w:jc w:val="both"/>
      </w:pPr>
      <w:r>
        <w:rPr>
          <w:rFonts w:ascii="Calibri" w:hAnsi="Calibri"/>
          <w:b w:val="0"/>
          <w:sz w:val="22"/>
        </w:rPr>
        <w:t>Adicionalmente a los requisitos de habilitación, se requieren los siguientes documentos:</w:t>
      </w:r>
    </w:p>
    <w:p>
      <w:pPr>
        <w:pStyle w:val="ListBullet"/>
        <w:jc w:val="both"/>
      </w:pPr>
      <w:r>
        <w:rPr>
          <w:rFonts w:ascii="Calibri" w:hAnsi="Calibri"/>
          <w:sz w:val="22"/>
        </w:rPr>
        <w:t>Hoja de vida actualizada con soportes de estudios y experiencia</w:t>
      </w:r>
    </w:p>
    <w:p>
      <w:pPr>
        <w:pStyle w:val="ListBullet"/>
        <w:jc w:val="both"/>
      </w:pPr>
      <w:r>
        <w:rPr>
          <w:rFonts w:ascii="Calibri" w:hAnsi="Calibri"/>
          <w:sz w:val="22"/>
        </w:rPr>
        <w:t>Fotocopia del documento de identidad</w:t>
      </w:r>
    </w:p>
    <w:p>
      <w:pPr>
        <w:pStyle w:val="ListBullet"/>
        <w:jc w:val="both"/>
      </w:pPr>
      <w:r>
        <w:rPr>
          <w:rFonts w:ascii="Calibri" w:hAnsi="Calibri"/>
          <w:sz w:val="22"/>
        </w:rPr>
        <w:t>Soportes de estudios de pregrado y posgrado (si aplica)</w:t>
      </w:r>
    </w:p>
    <w:p>
      <w:pPr>
        <w:pStyle w:val="ListBullet"/>
        <w:jc w:val="both"/>
      </w:pPr>
      <w:r>
        <w:rPr>
          <w:rFonts w:ascii="Calibri" w:hAnsi="Calibri"/>
          <w:sz w:val="22"/>
        </w:rPr>
        <w:t>Certificados laborales de experiencia previa</w:t>
      </w:r>
    </w:p>
    <w:p>
      <w:pPr>
        <w:pStyle w:val="ListBullet"/>
        <w:jc w:val="both"/>
      </w:pPr>
      <w:r>
        <w:rPr>
          <w:rFonts w:ascii="Calibri" w:hAnsi="Calibri"/>
          <w:sz w:val="22"/>
        </w:rPr>
        <w:t>Certificados de cursos, diplomados y especializaciones relevantes</w:t>
      </w:r>
    </w:p>
    <w:p>
      <w:pPr>
        <w:pStyle w:val="ListBullet"/>
        <w:jc w:val="both"/>
      </w:pPr>
      <w:r>
        <w:rPr>
          <w:rFonts w:ascii="Calibri" w:hAnsi="Calibri"/>
          <w:sz w:val="22"/>
        </w:rPr>
        <w:t>Para procedimientos estéticos no invasivos: certificados de cursos específicos en toxina botulínica, rellenos dérmicos, peelings químicos, mesoterapia y/o PRP emitidos por instituciones reconocidas</w:t>
      </w:r>
    </w:p>
    <w:p>
      <w:pPr>
        <w:pStyle w:val="ListBullet"/>
        <w:jc w:val="both"/>
      </w:pPr>
      <w:r>
        <w:rPr>
          <w:rFonts w:ascii="Calibri" w:hAnsi="Calibri"/>
          <w:sz w:val="22"/>
        </w:rPr>
        <w:t>RUT actualizado</w:t>
      </w:r>
    </w:p>
    <w:p>
      <w:pPr>
        <w:pStyle w:val="ListBullet"/>
        <w:jc w:val="both"/>
      </w:pPr>
      <w:r>
        <w:rPr>
          <w:rFonts w:ascii="Calibri" w:hAnsi="Calibri"/>
          <w:sz w:val="22"/>
        </w:rPr>
        <w:t>Número de cuenta bancaria para pagos (si aplica)</w:t>
      </w:r>
    </w:p>
    <w:p>
      <w:pPr>
        <w:pStyle w:val="ListBullet"/>
        <w:jc w:val="both"/>
      </w:pPr>
      <w:r>
        <w:rPr>
          <w:rFonts w:ascii="Calibri" w:hAnsi="Calibri"/>
          <w:sz w:val="22"/>
        </w:rPr>
        <w:t>Afiliación a EPS, fondo de pensiones y ARL vigente</w:t>
      </w:r>
    </w:p>
    <w:p>
      <w:pPr>
        <w:jc w:val="both"/>
      </w:pPr>
      <w:r>
        <w:rPr>
          <w:rFonts w:ascii="Calibri" w:hAnsi="Calibri"/>
          <w:b w:val="0"/>
          <w:sz w:val="22"/>
        </w:rPr>
        <w:t>NOTA: Para la Dra. [NOMBRE DE LA MÉDICA] como médica propietaria, los siguientes certificados de formación en procedimientos estéticos deben estar archivados en la carpeta de habilitación:</w:t>
      </w:r>
    </w:p>
    <w:p>
      <w:pPr>
        <w:pStyle w:val="ListBullet"/>
        <w:jc w:val="both"/>
      </w:pPr>
      <w:r>
        <w:rPr>
          <w:rFonts w:ascii="Calibri" w:hAnsi="Calibri"/>
          <w:sz w:val="22"/>
        </w:rPr>
        <w:t>[CERTIFICADO DE CURSO EN TOXINA BOTULÍNICA TIPO A - institución y fecha]</w:t>
      </w:r>
    </w:p>
    <w:p>
      <w:pPr>
        <w:pStyle w:val="ListBullet"/>
        <w:jc w:val="both"/>
      </w:pPr>
      <w:r>
        <w:rPr>
          <w:rFonts w:ascii="Calibri" w:hAnsi="Calibri"/>
          <w:sz w:val="22"/>
        </w:rPr>
        <w:t>[CERTIFICADO DE CURSO EN RELLENOS DÉRMICOS CON ÁCIDO HIALURÓNICO - institución y fecha]</w:t>
      </w:r>
    </w:p>
    <w:p>
      <w:pPr>
        <w:pStyle w:val="ListBullet"/>
        <w:jc w:val="both"/>
      </w:pPr>
      <w:r>
        <w:rPr>
          <w:rFonts w:ascii="Calibri" w:hAnsi="Calibri"/>
          <w:sz w:val="22"/>
        </w:rPr>
        <w:t>[CERTIFICADO DE CURSO EN PEELINGS QUÍMICOS - institución y fecha]</w:t>
      </w:r>
    </w:p>
    <w:p>
      <w:pPr>
        <w:pStyle w:val="ListBullet"/>
        <w:jc w:val="both"/>
      </w:pPr>
      <w:r>
        <w:rPr>
          <w:rFonts w:ascii="Calibri" w:hAnsi="Calibri"/>
          <w:sz w:val="22"/>
        </w:rPr>
        <w:t>[CERTIFICADO DE CURSO EN MESOTERAPIA - institución y fecha]</w:t>
      </w:r>
    </w:p>
    <w:p>
      <w:pPr>
        <w:pStyle w:val="ListBullet"/>
        <w:jc w:val="both"/>
      </w:pPr>
      <w:r>
        <w:rPr>
          <w:rFonts w:ascii="Calibri" w:hAnsi="Calibri"/>
          <w:sz w:val="22"/>
        </w:rPr>
        <w:t>[CERTIFICADO DE CURSO EN PLASMA RICO EN PLAQUETAS - institución y fecha]</w:t>
      </w:r>
    </w:p>
    <w:p>
      <w:pPr>
        <w:pStyle w:val="Heading2"/>
      </w:pPr>
      <w:r>
        <w:rPr>
          <w:b/>
          <w:color w:val="2E74B5"/>
          <w:sz w:val="24"/>
        </w:rPr>
        <w:t>7.3 Etapas del Proceso de Selección</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Etapa</w:t>
            </w:r>
          </w:p>
        </w:tc>
        <w:tc>
          <w:tcPr>
            <w:tcW w:type="dxa" w:w="3041"/>
            <w:shd w:fill="1F497D" w:color="auto" w:val="clear"/>
          </w:tcPr>
          <w:p>
            <w:pPr>
              <w:jc w:val="center"/>
            </w:pPr>
            <w:r/>
            <w:r>
              <w:rPr>
                <w:b/>
                <w:color w:val="FFFFFF"/>
                <w:sz w:val="20"/>
              </w:rPr>
              <w:t>Denominación</w:t>
            </w:r>
          </w:p>
        </w:tc>
        <w:tc>
          <w:tcPr>
            <w:tcW w:type="dxa" w:w="3041"/>
            <w:shd w:fill="1F497D" w:color="auto" w:val="clear"/>
          </w:tcPr>
          <w:p>
            <w:pPr>
              <w:jc w:val="center"/>
            </w:pPr>
            <w:r/>
            <w:r>
              <w:rPr>
                <w:b/>
                <w:color w:val="FFFFFF"/>
                <w:sz w:val="20"/>
              </w:rPr>
              <w:t>Descripción</w:t>
            </w:r>
          </w:p>
        </w:tc>
      </w:tr>
      <w:tr>
        <w:tc>
          <w:tcPr>
            <w:tcW w:type="dxa" w:w="3041"/>
          </w:tcPr>
          <w:p>
            <w:r>
              <w:rPr>
                <w:sz w:val="18"/>
              </w:rPr>
              <w:t>ETAPA 1</w:t>
            </w:r>
          </w:p>
        </w:tc>
        <w:tc>
          <w:tcPr>
            <w:tcW w:type="dxa" w:w="3041"/>
          </w:tcPr>
          <w:p>
            <w:r>
              <w:rPr>
                <w:sz w:val="18"/>
              </w:rPr>
              <w:t>Definición del perfil requerido</w:t>
            </w:r>
          </w:p>
        </w:tc>
        <w:tc>
          <w:tcPr>
            <w:tcW w:type="dxa" w:w="3041"/>
          </w:tcPr>
          <w:p>
            <w:r>
              <w:rPr>
                <w:sz w:val="18"/>
              </w:rPr>
              <w:t>Se establece el perfil del cargo con los requisitos técnicos, legales y personales necesarios para el puesto. Se verifica que los requisitos cumplan con la normatividad de habilitación vigente.</w:t>
            </w:r>
          </w:p>
        </w:tc>
      </w:tr>
      <w:tr>
        <w:tc>
          <w:tcPr>
            <w:tcW w:type="dxa" w:w="3041"/>
          </w:tcPr>
          <w:p>
            <w:r>
              <w:rPr>
                <w:sz w:val="18"/>
              </w:rPr>
              <w:t>ETAPA 2</w:t>
            </w:r>
          </w:p>
        </w:tc>
        <w:tc>
          <w:tcPr>
            <w:tcW w:type="dxa" w:w="3041"/>
          </w:tcPr>
          <w:p>
            <w:r>
              <w:rPr>
                <w:sz w:val="18"/>
              </w:rPr>
              <w:t>Publicación de la vacante</w:t>
            </w:r>
          </w:p>
        </w:tc>
        <w:tc>
          <w:tcPr>
            <w:tcW w:type="dxa" w:w="3041"/>
          </w:tcPr>
          <w:p>
            <w:r>
              <w:rPr>
                <w:sz w:val="18"/>
              </w:rPr>
              <w:t>Se publica la vacante a través de los medios disponibles (redes profesionales, bolsas de empleo médico, referencias de colegas). Se especifican claramente los requisitos obligatorios.</w:t>
            </w:r>
          </w:p>
        </w:tc>
      </w:tr>
      <w:tr>
        <w:tc>
          <w:tcPr>
            <w:tcW w:type="dxa" w:w="3041"/>
          </w:tcPr>
          <w:p>
            <w:r>
              <w:rPr>
                <w:sz w:val="18"/>
              </w:rPr>
              <w:t>ETAPA 3</w:t>
            </w:r>
          </w:p>
        </w:tc>
        <w:tc>
          <w:tcPr>
            <w:tcW w:type="dxa" w:w="3041"/>
          </w:tcPr>
          <w:p>
            <w:r>
              <w:rPr>
                <w:sz w:val="18"/>
              </w:rPr>
              <w:t>Revisión de hojas de vida</w:t>
            </w:r>
          </w:p>
        </w:tc>
        <w:tc>
          <w:tcPr>
            <w:tcW w:type="dxa" w:w="3041"/>
          </w:tcPr>
          <w:p>
            <w:r>
              <w:rPr>
                <w:sz w:val="18"/>
              </w:rPr>
              <w:t>Se revisan las hojas de vida recibidas verificando el cumplimiento de los requisitos mínimos. Se verifica la autenticidad de los títulos y certificaciones a través de RETHUS y los sistemas oficiales.</w:t>
            </w:r>
          </w:p>
        </w:tc>
      </w:tr>
      <w:tr>
        <w:tc>
          <w:tcPr>
            <w:tcW w:type="dxa" w:w="3041"/>
          </w:tcPr>
          <w:p>
            <w:r>
              <w:rPr>
                <w:sz w:val="18"/>
              </w:rPr>
              <w:t>ETAPA 4</w:t>
            </w:r>
          </w:p>
        </w:tc>
        <w:tc>
          <w:tcPr>
            <w:tcW w:type="dxa" w:w="3041"/>
          </w:tcPr>
          <w:p>
            <w:r>
              <w:rPr>
                <w:sz w:val="18"/>
              </w:rPr>
              <w:t>Entrevista</w:t>
            </w:r>
          </w:p>
        </w:tc>
        <w:tc>
          <w:tcPr>
            <w:tcW w:type="dxa" w:w="3041"/>
          </w:tcPr>
          <w:p>
            <w:r>
              <w:rPr>
                <w:sz w:val="18"/>
              </w:rPr>
              <w:t>Se realiza entrevista técnica y personal para evaluar conocimientos, competencias y actitudes del candidato. Para personal médico, se incluye evaluación de casos clínicos.</w:t>
            </w:r>
          </w:p>
        </w:tc>
      </w:tr>
      <w:tr>
        <w:tc>
          <w:tcPr>
            <w:tcW w:type="dxa" w:w="3041"/>
          </w:tcPr>
          <w:p>
            <w:r>
              <w:rPr>
                <w:sz w:val="18"/>
              </w:rPr>
              <w:t>ETAPA 5</w:t>
            </w:r>
          </w:p>
        </w:tc>
        <w:tc>
          <w:tcPr>
            <w:tcW w:type="dxa" w:w="3041"/>
          </w:tcPr>
          <w:p>
            <w:r>
              <w:rPr>
                <w:sz w:val="18"/>
              </w:rPr>
              <w:t>Verificación de documentos</w:t>
            </w:r>
          </w:p>
        </w:tc>
        <w:tc>
          <w:tcPr>
            <w:tcW w:type="dxa" w:w="3041"/>
          </w:tcPr>
          <w:p>
            <w:r>
              <w:rPr>
                <w:sz w:val="18"/>
              </w:rPr>
              <w:t>Se verifican todos los documentos obligatorios: tarjeta profesional en RETHUS, antecedentes disciplinarios, judiciales, fiscales y penales.</w:t>
            </w:r>
          </w:p>
        </w:tc>
      </w:tr>
      <w:tr>
        <w:tc>
          <w:tcPr>
            <w:tcW w:type="dxa" w:w="3041"/>
          </w:tcPr>
          <w:p>
            <w:r>
              <w:rPr>
                <w:sz w:val="18"/>
              </w:rPr>
              <w:t>ETAPA 6</w:t>
            </w:r>
          </w:p>
        </w:tc>
        <w:tc>
          <w:tcPr>
            <w:tcW w:type="dxa" w:w="3041"/>
          </w:tcPr>
          <w:p>
            <w:r>
              <w:rPr>
                <w:sz w:val="18"/>
              </w:rPr>
              <w:t>Exámenes preocupacionales</w:t>
            </w:r>
          </w:p>
        </w:tc>
        <w:tc>
          <w:tcPr>
            <w:tcW w:type="dxa" w:w="3041"/>
          </w:tcPr>
          <w:p>
            <w:r>
              <w:rPr>
                <w:sz w:val="18"/>
              </w:rPr>
              <w:t>Se realizan los exámenes médicos de ingreso requeridos, con énfasis en riesgo biológico y condiciones para el cargo específico.</w:t>
            </w:r>
          </w:p>
        </w:tc>
      </w:tr>
      <w:tr>
        <w:tc>
          <w:tcPr>
            <w:tcW w:type="dxa" w:w="3041"/>
          </w:tcPr>
          <w:p>
            <w:r>
              <w:rPr>
                <w:sz w:val="18"/>
              </w:rPr>
              <w:t>ETAPA 7</w:t>
            </w:r>
          </w:p>
        </w:tc>
        <w:tc>
          <w:tcPr>
            <w:tcW w:type="dxa" w:w="3041"/>
          </w:tcPr>
          <w:p>
            <w:r>
              <w:rPr>
                <w:sz w:val="18"/>
              </w:rPr>
              <w:t>Vinculación y firma de contrato</w:t>
            </w:r>
          </w:p>
        </w:tc>
        <w:tc>
          <w:tcPr>
            <w:tcW w:type="dxa" w:w="3041"/>
          </w:tcPr>
          <w:p>
            <w:r>
              <w:rPr>
                <w:sz w:val="18"/>
              </w:rPr>
              <w:t>Se formaliza la vinculación mediante contrato laboral o de prestación de servicios según corresponda, en cumplimiento del Código Sustantivo del Trabajo.</w:t>
            </w:r>
          </w:p>
        </w:tc>
      </w:tr>
    </w:tbl>
    <w:p/>
    <w:p>
      <w:pPr>
        <w:pStyle w:val="Heading1"/>
      </w:pPr>
      <w:r>
        <w:rPr>
          <w:b/>
          <w:color w:val="1F497D"/>
          <w:sz w:val="28"/>
        </w:rPr>
        <w:t>8. PROCESO DE INDUCCIÓN Y REINDUCCIÓN</w:t>
      </w:r>
    </w:p>
    <w:p>
      <w:pPr>
        <w:pStyle w:val="Heading2"/>
      </w:pPr>
      <w:r>
        <w:rPr>
          <w:b/>
          <w:color w:val="2E74B5"/>
          <w:sz w:val="24"/>
        </w:rPr>
        <w:t>8.1 Programa de Inducción</w:t>
      </w:r>
    </w:p>
    <w:p>
      <w:pPr>
        <w:jc w:val="both"/>
      </w:pPr>
      <w:r>
        <w:rPr>
          <w:rFonts w:ascii="Calibri" w:hAnsi="Calibri"/>
          <w:b w:val="0"/>
          <w:sz w:val="22"/>
        </w:rPr>
        <w:t>Todo el personal que se vincule al consultorio, independientemente del tipo de contrato, debe recibir un proceso de inducción antes de iniciar sus actividades asistenciales o administrativas. El programa de inducción tiene una duración mínima de 8 horas y cubre los siguientes temas:</w:t>
      </w:r>
    </w:p>
    <w:p>
      <w:r>
        <w:rPr>
          <w:b/>
          <w:sz w:val="22"/>
        </w:rPr>
        <w:t>Módulo 1 - Institucional (2 horas):</w:t>
      </w:r>
    </w:p>
    <w:p>
      <w:pPr>
        <w:pStyle w:val="ListBullet"/>
        <w:jc w:val="both"/>
      </w:pPr>
      <w:r>
        <w:rPr>
          <w:rFonts w:ascii="Calibri" w:hAnsi="Calibri"/>
          <w:sz w:val="22"/>
        </w:rPr>
        <w:t>Historia y misión del consultorio</w:t>
      </w:r>
    </w:p>
    <w:p>
      <w:pPr>
        <w:pStyle w:val="ListBullet"/>
        <w:jc w:val="both"/>
      </w:pPr>
      <w:r>
        <w:rPr>
          <w:rFonts w:ascii="Calibri" w:hAnsi="Calibri"/>
          <w:sz w:val="22"/>
        </w:rPr>
        <w:t>Valores institucionales y cultura organizacional</w:t>
      </w:r>
    </w:p>
    <w:p>
      <w:pPr>
        <w:pStyle w:val="ListBullet"/>
        <w:jc w:val="both"/>
      </w:pPr>
      <w:r>
        <w:rPr>
          <w:rFonts w:ascii="Calibri" w:hAnsi="Calibri"/>
          <w:sz w:val="22"/>
        </w:rPr>
        <w:t>Estructura organizacional y canales de comunicación</w:t>
      </w:r>
    </w:p>
    <w:p>
      <w:pPr>
        <w:pStyle w:val="ListBullet"/>
        <w:jc w:val="both"/>
      </w:pPr>
      <w:r>
        <w:rPr>
          <w:rFonts w:ascii="Calibri" w:hAnsi="Calibri"/>
          <w:sz w:val="22"/>
        </w:rPr>
        <w:t>Políticas institucionales generales</w:t>
      </w:r>
    </w:p>
    <w:p>
      <w:pPr>
        <w:pStyle w:val="ListBullet"/>
        <w:jc w:val="both"/>
      </w:pPr>
      <w:r>
        <w:rPr>
          <w:rFonts w:ascii="Calibri" w:hAnsi="Calibri"/>
          <w:sz w:val="22"/>
        </w:rPr>
        <w:t>Reglamento interno de trabajo</w:t>
      </w:r>
    </w:p>
    <w:p>
      <w:r>
        <w:rPr>
          <w:b/>
          <w:sz w:val="22"/>
        </w:rPr>
        <w:t>Módulo 2 - Normativo y de Calidad (2 horas):</w:t>
      </w:r>
    </w:p>
    <w:p>
      <w:pPr>
        <w:pStyle w:val="ListBullet"/>
        <w:jc w:val="both"/>
      </w:pPr>
      <w:r>
        <w:rPr>
          <w:rFonts w:ascii="Calibri" w:hAnsi="Calibri"/>
          <w:sz w:val="22"/>
        </w:rPr>
        <w:t>Sistema de Garantía de Calidad en Salud (Decreto 1011/2006)</w:t>
      </w:r>
    </w:p>
    <w:p>
      <w:pPr>
        <w:pStyle w:val="ListBullet"/>
        <w:jc w:val="both"/>
      </w:pPr>
      <w:r>
        <w:rPr>
          <w:rFonts w:ascii="Calibri" w:hAnsi="Calibri"/>
          <w:sz w:val="22"/>
        </w:rPr>
        <w:t>Resolución 3100 de 2019 - Estándares de habilitación</w:t>
      </w:r>
    </w:p>
    <w:p>
      <w:pPr>
        <w:pStyle w:val="ListBullet"/>
        <w:jc w:val="both"/>
      </w:pPr>
      <w:r>
        <w:rPr>
          <w:rFonts w:ascii="Calibri" w:hAnsi="Calibri"/>
          <w:sz w:val="22"/>
        </w:rPr>
        <w:t>Política de calidad y seguridad del paciente</w:t>
      </w:r>
    </w:p>
    <w:p>
      <w:pPr>
        <w:pStyle w:val="ListBullet"/>
        <w:jc w:val="both"/>
      </w:pPr>
      <w:r>
        <w:rPr>
          <w:rFonts w:ascii="Calibri" w:hAnsi="Calibri"/>
          <w:sz w:val="22"/>
        </w:rPr>
        <w:t>Sistema de gestión documental del consultorio</w:t>
      </w:r>
    </w:p>
    <w:p>
      <w:pPr>
        <w:pStyle w:val="ListBullet"/>
        <w:jc w:val="both"/>
      </w:pPr>
      <w:r>
        <w:rPr>
          <w:rFonts w:ascii="Calibri" w:hAnsi="Calibri"/>
          <w:sz w:val="22"/>
        </w:rPr>
        <w:t>Indicadores de calidad</w:t>
      </w:r>
    </w:p>
    <w:p>
      <w:r>
        <w:rPr>
          <w:b/>
          <w:sz w:val="22"/>
        </w:rPr>
        <w:t>Módulo 3 - Seguridad del Paciente (2 horas):</w:t>
      </w:r>
    </w:p>
    <w:p>
      <w:pPr>
        <w:pStyle w:val="ListBullet"/>
        <w:jc w:val="both"/>
      </w:pPr>
      <w:r>
        <w:rPr>
          <w:rFonts w:ascii="Calibri" w:hAnsi="Calibri"/>
          <w:sz w:val="22"/>
        </w:rPr>
        <w:t>Política de seguridad del paciente (Resolución 0256/2016)</w:t>
      </w:r>
    </w:p>
    <w:p>
      <w:pPr>
        <w:pStyle w:val="ListBullet"/>
        <w:jc w:val="both"/>
      </w:pPr>
      <w:r>
        <w:rPr>
          <w:rFonts w:ascii="Calibri" w:hAnsi="Calibri"/>
          <w:sz w:val="22"/>
        </w:rPr>
        <w:t>Identificación segura del paciente</w:t>
      </w:r>
    </w:p>
    <w:p>
      <w:pPr>
        <w:pStyle w:val="ListBullet"/>
        <w:jc w:val="both"/>
      </w:pPr>
      <w:r>
        <w:rPr>
          <w:rFonts w:ascii="Calibri" w:hAnsi="Calibri"/>
          <w:sz w:val="22"/>
        </w:rPr>
        <w:t>Prevención y reporte de eventos adversos</w:t>
      </w:r>
    </w:p>
    <w:p>
      <w:pPr>
        <w:pStyle w:val="ListBullet"/>
        <w:jc w:val="both"/>
      </w:pPr>
      <w:r>
        <w:rPr>
          <w:rFonts w:ascii="Calibri" w:hAnsi="Calibri"/>
          <w:sz w:val="22"/>
        </w:rPr>
        <w:t>Protocolo de manejo de emergencias</w:t>
      </w:r>
    </w:p>
    <w:p>
      <w:pPr>
        <w:pStyle w:val="ListBullet"/>
        <w:jc w:val="both"/>
      </w:pPr>
      <w:r>
        <w:rPr>
          <w:rFonts w:ascii="Calibri" w:hAnsi="Calibri"/>
          <w:sz w:val="22"/>
        </w:rPr>
        <w:t>Derechos y deberes de los pacientes</w:t>
      </w:r>
    </w:p>
    <w:p>
      <w:r>
        <w:rPr>
          <w:b/>
          <w:sz w:val="22"/>
        </w:rPr>
        <w:t>Módulo 4 - Bioseguridad y Manejo de Residuos (2 horas):</w:t>
      </w:r>
    </w:p>
    <w:p>
      <w:pPr>
        <w:pStyle w:val="ListBullet"/>
        <w:jc w:val="both"/>
      </w:pPr>
      <w:r>
        <w:rPr>
          <w:rFonts w:ascii="Calibri" w:hAnsi="Calibri"/>
          <w:sz w:val="22"/>
        </w:rPr>
        <w:t>Precauciones estándar y universales</w:t>
      </w:r>
    </w:p>
    <w:p>
      <w:pPr>
        <w:pStyle w:val="ListBullet"/>
        <w:jc w:val="both"/>
      </w:pPr>
      <w:r>
        <w:rPr>
          <w:rFonts w:ascii="Calibri" w:hAnsi="Calibri"/>
          <w:sz w:val="22"/>
        </w:rPr>
        <w:t>Protocolo de lavado de manos (OMS)</w:t>
      </w:r>
    </w:p>
    <w:p>
      <w:pPr>
        <w:pStyle w:val="ListBullet"/>
        <w:jc w:val="both"/>
      </w:pPr>
      <w:r>
        <w:rPr>
          <w:rFonts w:ascii="Calibri" w:hAnsi="Calibri"/>
          <w:sz w:val="22"/>
        </w:rPr>
        <w:t>Uso de elementos de protección personal (EPP)</w:t>
      </w:r>
    </w:p>
    <w:p>
      <w:pPr>
        <w:pStyle w:val="ListBullet"/>
        <w:jc w:val="both"/>
      </w:pPr>
      <w:r>
        <w:rPr>
          <w:rFonts w:ascii="Calibri" w:hAnsi="Calibri"/>
          <w:sz w:val="22"/>
        </w:rPr>
        <w:t>Manejo de residuos biosanitarios (Decreto 351/2014)</w:t>
      </w:r>
    </w:p>
    <w:p>
      <w:pPr>
        <w:pStyle w:val="ListBullet"/>
        <w:jc w:val="both"/>
      </w:pPr>
      <w:r>
        <w:rPr>
          <w:rFonts w:ascii="Calibri" w:hAnsi="Calibri"/>
          <w:sz w:val="22"/>
        </w:rPr>
        <w:t>Riesgo biológico y medidas de prevención</w:t>
      </w:r>
    </w:p>
    <w:p>
      <w:pPr>
        <w:pStyle w:val="Heading2"/>
      </w:pPr>
      <w:r>
        <w:rPr>
          <w:b/>
          <w:color w:val="2E74B5"/>
          <w:sz w:val="24"/>
        </w:rPr>
        <w:t>8.2 Programa de Reinducción</w:t>
      </w:r>
    </w:p>
    <w:p>
      <w:pPr>
        <w:jc w:val="both"/>
      </w:pPr>
      <w:r>
        <w:rPr>
          <w:rFonts w:ascii="Calibri" w:hAnsi="Calibri"/>
          <w:b w:val="0"/>
          <w:sz w:val="22"/>
        </w:rPr>
        <w:t>La reinducción se realizará con una frecuencia mínima anual y adicionalmente cuando se presenten los siguientes eventos:</w:t>
      </w:r>
    </w:p>
    <w:p>
      <w:pPr>
        <w:pStyle w:val="ListBullet"/>
        <w:jc w:val="both"/>
      </w:pPr>
      <w:r>
        <w:rPr>
          <w:rFonts w:ascii="Calibri" w:hAnsi="Calibri"/>
          <w:sz w:val="22"/>
        </w:rPr>
        <w:t>Cambios significativos en los procesos o procedimientos del consultorio</w:t>
      </w:r>
    </w:p>
    <w:p>
      <w:pPr>
        <w:pStyle w:val="ListBullet"/>
        <w:jc w:val="both"/>
      </w:pPr>
      <w:r>
        <w:rPr>
          <w:rFonts w:ascii="Calibri" w:hAnsi="Calibri"/>
          <w:sz w:val="22"/>
        </w:rPr>
        <w:t>Actualización o cambio de normatividad aplicable</w:t>
      </w:r>
    </w:p>
    <w:p>
      <w:pPr>
        <w:pStyle w:val="ListBullet"/>
        <w:jc w:val="both"/>
      </w:pPr>
      <w:r>
        <w:rPr>
          <w:rFonts w:ascii="Calibri" w:hAnsi="Calibri"/>
          <w:sz w:val="22"/>
        </w:rPr>
        <w:t>Después de períodos de ausencia del trabajador superiores a 30 días continuos</w:t>
      </w:r>
    </w:p>
    <w:p>
      <w:pPr>
        <w:pStyle w:val="ListBullet"/>
        <w:jc w:val="both"/>
      </w:pPr>
      <w:r>
        <w:rPr>
          <w:rFonts w:ascii="Calibri" w:hAnsi="Calibri"/>
          <w:sz w:val="22"/>
        </w:rPr>
        <w:t>Cuando se detecten fallas o no conformidades relacionadas con el desconocimiento de procedimientos</w:t>
      </w:r>
    </w:p>
    <w:p>
      <w:pPr>
        <w:pStyle w:val="ListBullet"/>
        <w:jc w:val="both"/>
      </w:pPr>
      <w:r>
        <w:rPr>
          <w:rFonts w:ascii="Calibri" w:hAnsi="Calibri"/>
          <w:sz w:val="22"/>
        </w:rPr>
        <w:t>Ingreso de nuevos servicios o tecnologías al consultorio</w:t>
      </w:r>
    </w:p>
    <w:p>
      <w:pPr>
        <w:pStyle w:val="ListBullet"/>
        <w:jc w:val="both"/>
      </w:pPr>
      <w:r>
        <w:rPr>
          <w:rFonts w:ascii="Calibri" w:hAnsi="Calibri"/>
          <w:sz w:val="22"/>
        </w:rPr>
        <w:t>Resultados desfavorables en la evaluación de desempeño relacionados con conocimiento de procesos</w:t>
      </w:r>
    </w:p>
    <w:p>
      <w:pPr>
        <w:jc w:val="both"/>
      </w:pPr>
      <w:r>
        <w:rPr>
          <w:rFonts w:ascii="Calibri" w:hAnsi="Calibri"/>
          <w:b w:val="0"/>
          <w:sz w:val="22"/>
        </w:rPr>
        <w:t>El registro de participación en los procesos de inducción y reinducción debe quedar en el expediente del trabajador y en el registro de asistencia correspondiente, firmado por el trabajador y por la médica propietaria.</w:t>
      </w:r>
    </w:p>
    <w:p>
      <w:pPr>
        <w:pStyle w:val="Heading1"/>
      </w:pPr>
      <w:r>
        <w:rPr>
          <w:b/>
          <w:color w:val="1F497D"/>
          <w:sz w:val="28"/>
        </w:rPr>
        <w:t>9. EVALUACIÓN DE COMPETENCIAS Y DESEMPEÑO</w:t>
      </w:r>
    </w:p>
    <w:p>
      <w:pPr>
        <w:jc w:val="both"/>
      </w:pPr>
      <w:r>
        <w:rPr>
          <w:rFonts w:ascii="Calibri" w:hAnsi="Calibri"/>
          <w:b w:val="0"/>
          <w:sz w:val="22"/>
        </w:rPr>
        <w:t>La evaluación del desempeño es un proceso sistemático y periódico que permite valorar el nivel de cumplimiento de las funciones, competencias y objetivos del personal del consultorio. Este proceso tiene una periodicidad anual, con seguimientos semestrales.</w:t>
      </w:r>
    </w:p>
    <w:p>
      <w:pPr>
        <w:pStyle w:val="Heading2"/>
      </w:pPr>
      <w:r>
        <w:rPr>
          <w:b/>
          <w:color w:val="2E74B5"/>
          <w:sz w:val="24"/>
        </w:rPr>
        <w:t>9.1 Dimensiones de la Evaluación</w:t>
      </w:r>
    </w:p>
    <w:p>
      <w:pPr>
        <w:jc w:val="both"/>
      </w:pPr>
      <w:r>
        <w:rPr>
          <w:b/>
          <w:sz w:val="22"/>
        </w:rPr>
        <w:t xml:space="preserve">• Competencias Técnicas (40%): </w:t>
      </w:r>
      <w:r>
        <w:rPr>
          <w:sz w:val="22"/>
        </w:rPr>
        <w:t>Evalúa los conocimientos y habilidades específicas para el desempeño del cargo: conocimientos médicos actualizados, manejo de procedimientos, uso de equipos, gestión de historia clínica, cumplimiento de protocolos.</w:t>
      </w:r>
    </w:p>
    <w:p>
      <w:pPr>
        <w:jc w:val="both"/>
      </w:pPr>
      <w:r>
        <w:rPr>
          <w:b/>
          <w:sz w:val="22"/>
        </w:rPr>
        <w:t xml:space="preserve">• Competencias en Seguridad del Paciente (20%): </w:t>
      </w:r>
      <w:r>
        <w:rPr>
          <w:sz w:val="22"/>
        </w:rPr>
        <w:t>Evalúa el cumplimiento de las políticas de seguridad: identificación correcta del paciente, reporte de eventos adversos, cumplimiento de listas de chequeo, lavado de manos.</w:t>
      </w:r>
    </w:p>
    <w:p>
      <w:pPr>
        <w:jc w:val="both"/>
      </w:pPr>
      <w:r>
        <w:rPr>
          <w:b/>
          <w:sz w:val="22"/>
        </w:rPr>
        <w:t xml:space="preserve">• Competencias Humanísticas y de Comunicación (20%): </w:t>
      </w:r>
      <w:r>
        <w:rPr>
          <w:sz w:val="22"/>
        </w:rPr>
        <w:t>Evalúa la calidad de la relación con el paciente: comunicación efectiva, respeto, empatía, manejo de información confidencial, atención a quejas y sugerencias.</w:t>
      </w:r>
    </w:p>
    <w:p>
      <w:pPr>
        <w:jc w:val="both"/>
      </w:pPr>
      <w:r>
        <w:rPr>
          <w:b/>
          <w:sz w:val="22"/>
        </w:rPr>
        <w:t xml:space="preserve">• Competencias Administrativas y de Calidad (10%): </w:t>
      </w:r>
      <w:r>
        <w:rPr>
          <w:sz w:val="22"/>
        </w:rPr>
        <w:t>Evalúa el cumplimiento de los procesos administrativos: diligenciamiento correcto de historias clínicas, gestión documental, reporte oportuno de indicadores.</w:t>
      </w:r>
    </w:p>
    <w:p>
      <w:pPr>
        <w:jc w:val="both"/>
      </w:pPr>
      <w:r>
        <w:rPr>
          <w:b/>
          <w:sz w:val="22"/>
        </w:rPr>
        <w:t xml:space="preserve">• Cumplimiento de Normas y Reglamento (10%): </w:t>
      </w:r>
      <w:r>
        <w:rPr>
          <w:sz w:val="22"/>
        </w:rPr>
        <w:t>Evalúa el cumplimiento de las normas institucionales: puntualidad, presentación personal, uso de EPP, participación en capacitaciones.</w:t>
      </w:r>
    </w:p>
    <w:p>
      <w:pPr>
        <w:pStyle w:val="Heading2"/>
      </w:pPr>
      <w:r>
        <w:rPr>
          <w:b/>
          <w:color w:val="2E74B5"/>
          <w:sz w:val="24"/>
        </w:rPr>
        <w:t>9.2 Escala de Calificación</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Calificación</w:t>
            </w:r>
          </w:p>
        </w:tc>
        <w:tc>
          <w:tcPr>
            <w:tcW w:type="dxa" w:w="3041"/>
            <w:shd w:fill="1F497D" w:color="auto" w:val="clear"/>
          </w:tcPr>
          <w:p>
            <w:pPr>
              <w:jc w:val="center"/>
            </w:pPr>
            <w:r/>
            <w:r>
              <w:rPr>
                <w:b/>
                <w:color w:val="FFFFFF"/>
                <w:sz w:val="20"/>
              </w:rPr>
              <w:t>Rango</w:t>
            </w:r>
          </w:p>
        </w:tc>
        <w:tc>
          <w:tcPr>
            <w:tcW w:type="dxa" w:w="3041"/>
            <w:shd w:fill="1F497D" w:color="auto" w:val="clear"/>
          </w:tcPr>
          <w:p>
            <w:pPr>
              <w:jc w:val="center"/>
            </w:pPr>
            <w:r/>
            <w:r>
              <w:rPr>
                <w:b/>
                <w:color w:val="FFFFFF"/>
                <w:sz w:val="20"/>
              </w:rPr>
              <w:t>Descripción</w:t>
            </w:r>
          </w:p>
        </w:tc>
      </w:tr>
      <w:tr>
        <w:tc>
          <w:tcPr>
            <w:tcW w:type="dxa" w:w="3041"/>
          </w:tcPr>
          <w:p>
            <w:r>
              <w:rPr>
                <w:sz w:val="20"/>
              </w:rPr>
              <w:t>Sobresaliente</w:t>
            </w:r>
          </w:p>
        </w:tc>
        <w:tc>
          <w:tcPr>
            <w:tcW w:type="dxa" w:w="3041"/>
          </w:tcPr>
          <w:p>
            <w:r>
              <w:rPr>
                <w:sz w:val="20"/>
              </w:rPr>
              <w:t>4.5 - 5.0</w:t>
            </w:r>
          </w:p>
        </w:tc>
        <w:tc>
          <w:tcPr>
            <w:tcW w:type="dxa" w:w="3041"/>
          </w:tcPr>
          <w:p>
            <w:r>
              <w:rPr>
                <w:sz w:val="20"/>
              </w:rPr>
              <w:t>Supera consistentemente las expectativas del cargo en todas las dimensiones evaluadas</w:t>
            </w:r>
          </w:p>
        </w:tc>
      </w:tr>
      <w:tr>
        <w:tc>
          <w:tcPr>
            <w:tcW w:type="dxa" w:w="3041"/>
          </w:tcPr>
          <w:p>
            <w:r>
              <w:rPr>
                <w:sz w:val="20"/>
              </w:rPr>
              <w:t>Satisfactorio</w:t>
            </w:r>
          </w:p>
        </w:tc>
        <w:tc>
          <w:tcPr>
            <w:tcW w:type="dxa" w:w="3041"/>
          </w:tcPr>
          <w:p>
            <w:r>
              <w:rPr>
                <w:sz w:val="20"/>
              </w:rPr>
              <w:t>4.0 - 4.4</w:t>
            </w:r>
          </w:p>
        </w:tc>
        <w:tc>
          <w:tcPr>
            <w:tcW w:type="dxa" w:w="3041"/>
          </w:tcPr>
          <w:p>
            <w:r>
              <w:rPr>
                <w:sz w:val="20"/>
              </w:rPr>
              <w:t>Cumple con las expectativas del cargo en la mayoría de las dimensiones evaluadas</w:t>
            </w:r>
          </w:p>
        </w:tc>
      </w:tr>
      <w:tr>
        <w:tc>
          <w:tcPr>
            <w:tcW w:type="dxa" w:w="3041"/>
          </w:tcPr>
          <w:p>
            <w:r>
              <w:rPr>
                <w:sz w:val="20"/>
              </w:rPr>
              <w:t>Aceptable</w:t>
            </w:r>
          </w:p>
        </w:tc>
        <w:tc>
          <w:tcPr>
            <w:tcW w:type="dxa" w:w="3041"/>
          </w:tcPr>
          <w:p>
            <w:r>
              <w:rPr>
                <w:sz w:val="20"/>
              </w:rPr>
              <w:t>3.0 - 3.9</w:t>
            </w:r>
          </w:p>
        </w:tc>
        <w:tc>
          <w:tcPr>
            <w:tcW w:type="dxa" w:w="3041"/>
          </w:tcPr>
          <w:p>
            <w:r>
              <w:rPr>
                <w:sz w:val="20"/>
              </w:rPr>
              <w:t>Cumple básicamente con las expectativas pero presenta áreas de mejora identificadas</w:t>
            </w:r>
          </w:p>
        </w:tc>
      </w:tr>
      <w:tr>
        <w:tc>
          <w:tcPr>
            <w:tcW w:type="dxa" w:w="3041"/>
          </w:tcPr>
          <w:p>
            <w:r>
              <w:rPr>
                <w:sz w:val="20"/>
              </w:rPr>
              <w:t>En mejoramiento</w:t>
            </w:r>
          </w:p>
        </w:tc>
        <w:tc>
          <w:tcPr>
            <w:tcW w:type="dxa" w:w="3041"/>
          </w:tcPr>
          <w:p>
            <w:r>
              <w:rPr>
                <w:sz w:val="20"/>
              </w:rPr>
              <w:t>2.0 - 2.9</w:t>
            </w:r>
          </w:p>
        </w:tc>
        <w:tc>
          <w:tcPr>
            <w:tcW w:type="dxa" w:w="3041"/>
          </w:tcPr>
          <w:p>
            <w:r>
              <w:rPr>
                <w:sz w:val="20"/>
              </w:rPr>
              <w:t>No cumple plenamente con las expectativas. Requiere plan de mejoramiento</w:t>
            </w:r>
          </w:p>
        </w:tc>
      </w:tr>
      <w:tr>
        <w:tc>
          <w:tcPr>
            <w:tcW w:type="dxa" w:w="3041"/>
          </w:tcPr>
          <w:p>
            <w:r>
              <w:rPr>
                <w:sz w:val="20"/>
              </w:rPr>
              <w:t>Insatisfactorio</w:t>
            </w:r>
          </w:p>
        </w:tc>
        <w:tc>
          <w:tcPr>
            <w:tcW w:type="dxa" w:w="3041"/>
          </w:tcPr>
          <w:p>
            <w:r>
              <w:rPr>
                <w:sz w:val="20"/>
              </w:rPr>
              <w:t>Menor a 2.0</w:t>
            </w:r>
          </w:p>
        </w:tc>
        <w:tc>
          <w:tcPr>
            <w:tcW w:type="dxa" w:w="3041"/>
          </w:tcPr>
          <w:p>
            <w:r>
              <w:rPr>
                <w:sz w:val="20"/>
              </w:rPr>
              <w:t>No cumple con las expectativas del cargo. Se activan medidas correctivas</w:t>
            </w:r>
          </w:p>
        </w:tc>
      </w:tr>
    </w:tbl>
    <w:p/>
    <w:p>
      <w:pPr>
        <w:pStyle w:val="Heading1"/>
      </w:pPr>
      <w:r>
        <w:rPr>
          <w:b/>
          <w:color w:val="1F497D"/>
          <w:sz w:val="28"/>
        </w:rPr>
        <w:t>10. PROGRAMA DE EDUCACIÓN CONTINUADA</w:t>
      </w:r>
    </w:p>
    <w:p>
      <w:pPr>
        <w:jc w:val="both"/>
      </w:pPr>
      <w:r>
        <w:rPr>
          <w:rFonts w:ascii="Calibri" w:hAnsi="Calibri"/>
          <w:b w:val="0"/>
          <w:sz w:val="22"/>
        </w:rPr>
        <w:t>El consultorio reconoce que la educación médica continua es un deber ético y legal del médico general, establecido en la Ley 23 de 1981 y los principios del Sistema de Garantía de Calidad. Se establece un programa anual de educación continuada que contempla:</w:t>
      </w:r>
    </w:p>
    <w:p>
      <w:pPr>
        <w:pStyle w:val="Heading2"/>
      </w:pPr>
      <w:r>
        <w:rPr>
          <w:b/>
          <w:color w:val="2E74B5"/>
          <w:sz w:val="24"/>
        </w:rPr>
        <w:t>10.1 Plan Anual de Capacitación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Frecuencia</w:t>
            </w:r>
          </w:p>
        </w:tc>
        <w:tc>
          <w:tcPr>
            <w:tcW w:type="dxa" w:w="1824"/>
            <w:shd w:fill="1F497D" w:color="auto" w:val="clear"/>
          </w:tcPr>
          <w:p>
            <w:pPr>
              <w:jc w:val="center"/>
            </w:pPr>
            <w:r/>
            <w:r>
              <w:rPr>
                <w:b/>
                <w:color w:val="FFFFFF"/>
                <w:sz w:val="20"/>
              </w:rPr>
              <w:t>Tema</w:t>
            </w:r>
          </w:p>
        </w:tc>
        <w:tc>
          <w:tcPr>
            <w:tcW w:type="dxa" w:w="1824"/>
            <w:shd w:fill="1F497D" w:color="auto" w:val="clear"/>
          </w:tcPr>
          <w:p>
            <w:pPr>
              <w:jc w:val="center"/>
            </w:pPr>
            <w:r/>
            <w:r>
              <w:rPr>
                <w:b/>
                <w:color w:val="FFFFFF"/>
                <w:sz w:val="20"/>
              </w:rPr>
              <w:t>Dirigido a</w:t>
            </w:r>
          </w:p>
        </w:tc>
        <w:tc>
          <w:tcPr>
            <w:tcW w:type="dxa" w:w="1824"/>
            <w:shd w:fill="1F497D" w:color="auto" w:val="clear"/>
          </w:tcPr>
          <w:p>
            <w:pPr>
              <w:jc w:val="center"/>
            </w:pPr>
            <w:r/>
            <w:r>
              <w:rPr>
                <w:b/>
                <w:color w:val="FFFFFF"/>
                <w:sz w:val="20"/>
              </w:rPr>
              <w:t>Modalidad</w:t>
            </w:r>
          </w:p>
        </w:tc>
        <w:tc>
          <w:tcPr>
            <w:tcW w:type="dxa" w:w="1824"/>
            <w:shd w:fill="1F497D" w:color="auto" w:val="clear"/>
          </w:tcPr>
          <w:p>
            <w:pPr>
              <w:jc w:val="center"/>
            </w:pPr>
            <w:r/>
            <w:r>
              <w:rPr>
                <w:b/>
                <w:color w:val="FFFFFF"/>
                <w:sz w:val="20"/>
              </w:rPr>
              <w:t>Intensidad</w:t>
            </w:r>
          </w:p>
        </w:tc>
      </w:tr>
      <w:tr>
        <w:tc>
          <w:tcPr>
            <w:tcW w:type="dxa" w:w="1824"/>
          </w:tcPr>
          <w:p>
            <w:r>
              <w:rPr>
                <w:sz w:val="18"/>
              </w:rPr>
              <w:t>Anual (mínimo)</w:t>
            </w:r>
          </w:p>
        </w:tc>
        <w:tc>
          <w:tcPr>
            <w:tcW w:type="dxa" w:w="1824"/>
          </w:tcPr>
          <w:p>
            <w:r>
              <w:rPr>
                <w:sz w:val="18"/>
              </w:rPr>
              <w:t>Actualización en guías de práctica clínica colombianas vigentes</w:t>
            </w:r>
          </w:p>
        </w:tc>
        <w:tc>
          <w:tcPr>
            <w:tcW w:type="dxa" w:w="1824"/>
          </w:tcPr>
          <w:p>
            <w:r>
              <w:rPr>
                <w:sz w:val="18"/>
              </w:rPr>
              <w:t>Médica General</w:t>
            </w:r>
          </w:p>
        </w:tc>
        <w:tc>
          <w:tcPr>
            <w:tcW w:type="dxa" w:w="1824"/>
          </w:tcPr>
          <w:p>
            <w:r>
              <w:rPr>
                <w:sz w:val="18"/>
              </w:rPr>
              <w:t>Interna/Externa</w:t>
            </w:r>
          </w:p>
        </w:tc>
        <w:tc>
          <w:tcPr>
            <w:tcW w:type="dxa" w:w="1824"/>
          </w:tcPr>
          <w:p>
            <w:r>
              <w:rPr>
                <w:sz w:val="18"/>
              </w:rPr>
              <w:t>8 horas</w:t>
            </w:r>
          </w:p>
        </w:tc>
      </w:tr>
      <w:tr>
        <w:tc>
          <w:tcPr>
            <w:tcW w:type="dxa" w:w="1824"/>
          </w:tcPr>
          <w:p>
            <w:r>
              <w:rPr>
                <w:sz w:val="18"/>
              </w:rPr>
              <w:t>Anual (mínimo)</w:t>
            </w:r>
          </w:p>
        </w:tc>
        <w:tc>
          <w:tcPr>
            <w:tcW w:type="dxa" w:w="1824"/>
          </w:tcPr>
          <w:p>
            <w:r>
              <w:rPr>
                <w:sz w:val="18"/>
              </w:rPr>
              <w:t>Soporte básico de vida (BLS/RCP) - recertificación</w:t>
            </w:r>
          </w:p>
        </w:tc>
        <w:tc>
          <w:tcPr>
            <w:tcW w:type="dxa" w:w="1824"/>
          </w:tcPr>
          <w:p>
            <w:r>
              <w:rPr>
                <w:sz w:val="18"/>
              </w:rPr>
              <w:t>Todo el personal</w:t>
            </w:r>
          </w:p>
        </w:tc>
        <w:tc>
          <w:tcPr>
            <w:tcW w:type="dxa" w:w="1824"/>
          </w:tcPr>
          <w:p>
            <w:r>
              <w:rPr>
                <w:sz w:val="18"/>
              </w:rPr>
              <w:t>Externa</w:t>
            </w:r>
          </w:p>
        </w:tc>
        <w:tc>
          <w:tcPr>
            <w:tcW w:type="dxa" w:w="1824"/>
          </w:tcPr>
          <w:p>
            <w:r>
              <w:rPr>
                <w:sz w:val="18"/>
              </w:rPr>
              <w:t>8 horas</w:t>
            </w:r>
          </w:p>
        </w:tc>
      </w:tr>
      <w:tr>
        <w:tc>
          <w:tcPr>
            <w:tcW w:type="dxa" w:w="1824"/>
          </w:tcPr>
          <w:p>
            <w:r>
              <w:rPr>
                <w:sz w:val="18"/>
              </w:rPr>
              <w:t>Semestral</w:t>
            </w:r>
          </w:p>
        </w:tc>
        <w:tc>
          <w:tcPr>
            <w:tcW w:type="dxa" w:w="1824"/>
          </w:tcPr>
          <w:p>
            <w:r>
              <w:rPr>
                <w:sz w:val="18"/>
              </w:rPr>
              <w:t>Actualización en bioseguridad y manejo de residuos</w:t>
            </w:r>
          </w:p>
        </w:tc>
        <w:tc>
          <w:tcPr>
            <w:tcW w:type="dxa" w:w="1824"/>
          </w:tcPr>
          <w:p>
            <w:r>
              <w:rPr>
                <w:sz w:val="18"/>
              </w:rPr>
              <w:t>Todo el personal</w:t>
            </w:r>
          </w:p>
        </w:tc>
        <w:tc>
          <w:tcPr>
            <w:tcW w:type="dxa" w:w="1824"/>
          </w:tcPr>
          <w:p>
            <w:r>
              <w:rPr>
                <w:sz w:val="18"/>
              </w:rPr>
              <w:t>Interna</w:t>
            </w:r>
          </w:p>
        </w:tc>
        <w:tc>
          <w:tcPr>
            <w:tcW w:type="dxa" w:w="1824"/>
          </w:tcPr>
          <w:p>
            <w:r>
              <w:rPr>
                <w:sz w:val="18"/>
              </w:rPr>
              <w:t>4 horas</w:t>
            </w:r>
          </w:p>
        </w:tc>
      </w:tr>
      <w:tr>
        <w:tc>
          <w:tcPr>
            <w:tcW w:type="dxa" w:w="1824"/>
          </w:tcPr>
          <w:p>
            <w:r>
              <w:rPr>
                <w:sz w:val="18"/>
              </w:rPr>
              <w:t>Semestral</w:t>
            </w:r>
          </w:p>
        </w:tc>
        <w:tc>
          <w:tcPr>
            <w:tcW w:type="dxa" w:w="1824"/>
          </w:tcPr>
          <w:p>
            <w:r>
              <w:rPr>
                <w:sz w:val="18"/>
              </w:rPr>
              <w:t>Seguridad del paciente y reporte de eventos adversos</w:t>
            </w:r>
          </w:p>
        </w:tc>
        <w:tc>
          <w:tcPr>
            <w:tcW w:type="dxa" w:w="1824"/>
          </w:tcPr>
          <w:p>
            <w:r>
              <w:rPr>
                <w:sz w:val="18"/>
              </w:rPr>
              <w:t>Todo el personal</w:t>
            </w:r>
          </w:p>
        </w:tc>
        <w:tc>
          <w:tcPr>
            <w:tcW w:type="dxa" w:w="1824"/>
          </w:tcPr>
          <w:p>
            <w:r>
              <w:rPr>
                <w:sz w:val="18"/>
              </w:rPr>
              <w:t>Interna</w:t>
            </w:r>
          </w:p>
        </w:tc>
        <w:tc>
          <w:tcPr>
            <w:tcW w:type="dxa" w:w="1824"/>
          </w:tcPr>
          <w:p>
            <w:r>
              <w:rPr>
                <w:sz w:val="18"/>
              </w:rPr>
              <w:t>4 horas</w:t>
            </w:r>
          </w:p>
        </w:tc>
      </w:tr>
      <w:tr>
        <w:tc>
          <w:tcPr>
            <w:tcW w:type="dxa" w:w="1824"/>
          </w:tcPr>
          <w:p>
            <w:r>
              <w:rPr>
                <w:sz w:val="18"/>
              </w:rPr>
              <w:t>Anual</w:t>
            </w:r>
          </w:p>
        </w:tc>
        <w:tc>
          <w:tcPr>
            <w:tcW w:type="dxa" w:w="1824"/>
          </w:tcPr>
          <w:p>
            <w:r>
              <w:rPr>
                <w:sz w:val="18"/>
              </w:rPr>
              <w:t>Actualización en procedimientos estéticos no invasivos</w:t>
            </w:r>
          </w:p>
        </w:tc>
        <w:tc>
          <w:tcPr>
            <w:tcW w:type="dxa" w:w="1824"/>
          </w:tcPr>
          <w:p>
            <w:r>
              <w:rPr>
                <w:sz w:val="18"/>
              </w:rPr>
              <w:t>Médica General</w:t>
            </w:r>
          </w:p>
        </w:tc>
        <w:tc>
          <w:tcPr>
            <w:tcW w:type="dxa" w:w="1824"/>
          </w:tcPr>
          <w:p>
            <w:r>
              <w:rPr>
                <w:sz w:val="18"/>
              </w:rPr>
              <w:t>Externa</w:t>
            </w:r>
          </w:p>
        </w:tc>
        <w:tc>
          <w:tcPr>
            <w:tcW w:type="dxa" w:w="1824"/>
          </w:tcPr>
          <w:p>
            <w:r>
              <w:rPr>
                <w:sz w:val="18"/>
              </w:rPr>
              <w:t>[HORAS]</w:t>
            </w:r>
          </w:p>
        </w:tc>
      </w:tr>
      <w:tr>
        <w:tc>
          <w:tcPr>
            <w:tcW w:type="dxa" w:w="1824"/>
          </w:tcPr>
          <w:p>
            <w:r>
              <w:rPr>
                <w:sz w:val="18"/>
              </w:rPr>
              <w:t>Anual</w:t>
            </w:r>
          </w:p>
        </w:tc>
        <w:tc>
          <w:tcPr>
            <w:tcW w:type="dxa" w:w="1824"/>
          </w:tcPr>
          <w:p>
            <w:r>
              <w:rPr>
                <w:sz w:val="18"/>
              </w:rPr>
              <w:t>Actualización normativa en habilitación de servicios de salud</w:t>
            </w:r>
          </w:p>
        </w:tc>
        <w:tc>
          <w:tcPr>
            <w:tcW w:type="dxa" w:w="1824"/>
          </w:tcPr>
          <w:p>
            <w:r>
              <w:rPr>
                <w:sz w:val="18"/>
              </w:rPr>
              <w:t>Médica General</w:t>
            </w:r>
          </w:p>
        </w:tc>
        <w:tc>
          <w:tcPr>
            <w:tcW w:type="dxa" w:w="1824"/>
          </w:tcPr>
          <w:p>
            <w:r>
              <w:rPr>
                <w:sz w:val="18"/>
              </w:rPr>
              <w:t>Externa/Interna</w:t>
            </w:r>
          </w:p>
        </w:tc>
        <w:tc>
          <w:tcPr>
            <w:tcW w:type="dxa" w:w="1824"/>
          </w:tcPr>
          <w:p>
            <w:r>
              <w:rPr>
                <w:sz w:val="18"/>
              </w:rPr>
              <w:t>4 horas</w:t>
            </w:r>
          </w:p>
        </w:tc>
      </w:tr>
      <w:tr>
        <w:tc>
          <w:tcPr>
            <w:tcW w:type="dxa" w:w="1824"/>
          </w:tcPr>
          <w:p>
            <w:r>
              <w:rPr>
                <w:sz w:val="18"/>
              </w:rPr>
              <w:t>Anual</w:t>
            </w:r>
          </w:p>
        </w:tc>
        <w:tc>
          <w:tcPr>
            <w:tcW w:type="dxa" w:w="1824"/>
          </w:tcPr>
          <w:p>
            <w:r>
              <w:rPr>
                <w:sz w:val="18"/>
              </w:rPr>
              <w:t>Manejo de emergencias en consultorio</w:t>
            </w:r>
          </w:p>
        </w:tc>
        <w:tc>
          <w:tcPr>
            <w:tcW w:type="dxa" w:w="1824"/>
          </w:tcPr>
          <w:p>
            <w:r>
              <w:rPr>
                <w:sz w:val="18"/>
              </w:rPr>
              <w:t>Médica General</w:t>
            </w:r>
          </w:p>
        </w:tc>
        <w:tc>
          <w:tcPr>
            <w:tcW w:type="dxa" w:w="1824"/>
          </w:tcPr>
          <w:p>
            <w:r>
              <w:rPr>
                <w:sz w:val="18"/>
              </w:rPr>
              <w:t>Externa</w:t>
            </w:r>
          </w:p>
        </w:tc>
        <w:tc>
          <w:tcPr>
            <w:tcW w:type="dxa" w:w="1824"/>
          </w:tcPr>
          <w:p>
            <w:r>
              <w:rPr>
                <w:sz w:val="18"/>
              </w:rPr>
              <w:t>8 horas</w:t>
            </w:r>
          </w:p>
        </w:tc>
      </w:tr>
      <w:tr>
        <w:tc>
          <w:tcPr>
            <w:tcW w:type="dxa" w:w="1824"/>
          </w:tcPr>
          <w:p>
            <w:r>
              <w:rPr>
                <w:sz w:val="18"/>
              </w:rPr>
              <w:t>Según necesidad</w:t>
            </w:r>
          </w:p>
        </w:tc>
        <w:tc>
          <w:tcPr>
            <w:tcW w:type="dxa" w:w="1824"/>
          </w:tcPr>
          <w:p>
            <w:r>
              <w:rPr>
                <w:sz w:val="18"/>
              </w:rPr>
              <w:t>Cursos específicos identificados en evaluación de desempeño</w:t>
            </w:r>
          </w:p>
        </w:tc>
        <w:tc>
          <w:tcPr>
            <w:tcW w:type="dxa" w:w="1824"/>
          </w:tcPr>
          <w:p>
            <w:r>
              <w:rPr>
                <w:sz w:val="18"/>
              </w:rPr>
              <w:t>Según evaluación</w:t>
            </w:r>
          </w:p>
        </w:tc>
        <w:tc>
          <w:tcPr>
            <w:tcW w:type="dxa" w:w="1824"/>
          </w:tcPr>
          <w:p>
            <w:r>
              <w:rPr>
                <w:sz w:val="18"/>
              </w:rPr>
              <w:t>Externa</w:t>
            </w:r>
          </w:p>
        </w:tc>
        <w:tc>
          <w:tcPr>
            <w:tcW w:type="dxa" w:w="1824"/>
          </w:tcPr>
          <w:p>
            <w:r>
              <w:rPr>
                <w:sz w:val="18"/>
              </w:rPr>
              <w:t>Variable</w:t>
            </w:r>
          </w:p>
        </w:tc>
      </w:tr>
    </w:tbl>
    <w:p/>
    <w:p>
      <w:pPr>
        <w:jc w:val="both"/>
      </w:pPr>
      <w:r>
        <w:rPr>
          <w:rFonts w:ascii="Calibri" w:hAnsi="Calibri"/>
          <w:b w:val="0"/>
          <w:sz w:val="22"/>
        </w:rPr>
        <w:t>NOTA IMPORTANTE: Para mantener la habilitación de los servicios de procedimientos estéticos no invasivos, la médica propietaria debe acreditar actualización periódica en los procedimientos que realiza. Se recomienda participar al menos en un congreso o curso de actualización en medicina estética por año, con los correspondientes certificados archivados en la carpeta de habilitación.</w:t>
      </w:r>
    </w:p>
    <w:p>
      <w:pPr>
        <w:pStyle w:val="Heading1"/>
      </w:pPr>
      <w:r>
        <w:rPr>
          <w:b/>
          <w:color w:val="1F497D"/>
          <w:sz w:val="28"/>
        </w:rPr>
        <w:t>11. GESTIÓN DE TURNOS Y DISPONIBILIDAD</w:t>
      </w:r>
    </w:p>
    <w:p>
      <w:pPr>
        <w:jc w:val="both"/>
      </w:pPr>
      <w:r>
        <w:rPr>
          <w:rFonts w:ascii="Calibri" w:hAnsi="Calibri"/>
          <w:b w:val="0"/>
          <w:sz w:val="22"/>
        </w:rPr>
        <w:t>El consultorio opera bajo el siguiente esquema de disponibilidad, garantizando la continuidad de la atención y el cumplimiento de los tiempos de respuesta establecidos:</w:t>
      </w:r>
    </w:p>
    <w:p>
      <w:pPr>
        <w:pStyle w:val="Heading2"/>
      </w:pPr>
      <w:r>
        <w:rPr>
          <w:b/>
          <w:color w:val="2E74B5"/>
          <w:sz w:val="24"/>
        </w:rPr>
        <w:t>11.1 Horario de Atención</w:t>
      </w:r>
    </w:p>
    <w:p>
      <w:pPr>
        <w:jc w:val="both"/>
      </w:pPr>
      <w:r>
        <w:rPr>
          <w:rFonts w:ascii="Calibri" w:hAnsi="Calibri"/>
          <w:b w:val="0"/>
          <w:sz w:val="22"/>
        </w:rPr>
        <w:t>Horario habitual de atención del consultorio:</w:t>
      </w:r>
    </w:p>
    <w:p>
      <w:pPr>
        <w:pStyle w:val="ListBullet"/>
        <w:jc w:val="both"/>
      </w:pPr>
      <w:r>
        <w:rPr>
          <w:rFonts w:ascii="Calibri" w:hAnsi="Calibri"/>
          <w:sz w:val="22"/>
        </w:rPr>
        <w:t>Días hábiles: Lunes a Viernes de [HORA DE APERTURA] a [HORA DE CIERRE]</w:t>
      </w:r>
    </w:p>
    <w:p>
      <w:pPr>
        <w:pStyle w:val="ListBullet"/>
        <w:jc w:val="both"/>
      </w:pPr>
      <w:r>
        <w:rPr>
          <w:rFonts w:ascii="Calibri" w:hAnsi="Calibri"/>
          <w:sz w:val="22"/>
        </w:rPr>
        <w:t>Sábados: [HORARIO DE SÁBADO o 'No aplica']</w:t>
      </w:r>
    </w:p>
    <w:p>
      <w:pPr>
        <w:pStyle w:val="ListBullet"/>
        <w:jc w:val="both"/>
      </w:pPr>
      <w:r>
        <w:rPr>
          <w:rFonts w:ascii="Calibri" w:hAnsi="Calibri"/>
          <w:sz w:val="22"/>
        </w:rPr>
        <w:t>El horario exacto debe ser registrado en el formulario de inscripción al REPS y estar publicado visiblemente en el consultorio</w:t>
      </w:r>
    </w:p>
    <w:p>
      <w:pPr>
        <w:pStyle w:val="Heading2"/>
      </w:pPr>
      <w:r>
        <w:rPr>
          <w:b/>
          <w:color w:val="2E74B5"/>
          <w:sz w:val="24"/>
        </w:rPr>
        <w:t>11.2 Disponibilidad para Urgencias</w:t>
      </w:r>
    </w:p>
    <w:p>
      <w:pPr>
        <w:jc w:val="both"/>
      </w:pPr>
      <w:r>
        <w:rPr>
          <w:rFonts w:ascii="Calibri" w:hAnsi="Calibri"/>
          <w:b w:val="0"/>
          <w:sz w:val="22"/>
        </w:rPr>
        <w:t>El consultorio NO está habilitado para atención de urgencias. En caso de que un paciente presente una complicación o situación de urgencia durante la atención:</w:t>
      </w:r>
    </w:p>
    <w:p>
      <w:pPr>
        <w:pStyle w:val="ListBullet"/>
        <w:jc w:val="both"/>
      </w:pPr>
      <w:r>
        <w:rPr>
          <w:rFonts w:ascii="Calibri" w:hAnsi="Calibri"/>
          <w:sz w:val="22"/>
        </w:rPr>
        <w:t>Se activa el protocolo de manejo de emergencias del consultorio (PRO-PP-003)</w:t>
      </w:r>
    </w:p>
    <w:p>
      <w:pPr>
        <w:pStyle w:val="ListBullet"/>
        <w:jc w:val="both"/>
      </w:pPr>
      <w:r>
        <w:rPr>
          <w:rFonts w:ascii="Calibri" w:hAnsi="Calibri"/>
          <w:sz w:val="22"/>
        </w:rPr>
        <w:t>Se llama al número de emergencias 123 para traslado si es necesario</w:t>
      </w:r>
    </w:p>
    <w:p>
      <w:pPr>
        <w:pStyle w:val="ListBullet"/>
        <w:jc w:val="both"/>
      </w:pPr>
      <w:r>
        <w:rPr>
          <w:rFonts w:ascii="Calibri" w:hAnsi="Calibri"/>
          <w:sz w:val="22"/>
        </w:rPr>
        <w:t>Se estabiliza al paciente con los recursos disponibles en el consultorio mientras llega el apoyo</w:t>
      </w:r>
    </w:p>
    <w:p>
      <w:pPr>
        <w:pStyle w:val="ListBullet"/>
        <w:jc w:val="both"/>
      </w:pPr>
      <w:r>
        <w:rPr>
          <w:rFonts w:ascii="Calibri" w:hAnsi="Calibri"/>
          <w:sz w:val="22"/>
        </w:rPr>
        <w:t>Se remite al paciente a la red de urgencias correspondiente según su aseguradora</w:t>
      </w:r>
    </w:p>
    <w:p>
      <w:pPr>
        <w:pStyle w:val="ListBullet"/>
        <w:jc w:val="both"/>
      </w:pPr>
      <w:r>
        <w:rPr>
          <w:rFonts w:ascii="Calibri" w:hAnsi="Calibri"/>
          <w:sz w:val="22"/>
        </w:rPr>
        <w:t>Se documenta el evento en el formato de reporte de eventos adversos (FOR-PP-005)</w:t>
      </w:r>
    </w:p>
    <w:p>
      <w:pPr>
        <w:pStyle w:val="Heading1"/>
      </w:pPr>
      <w:r>
        <w:rPr>
          <w:b/>
          <w:color w:val="1F497D"/>
          <w:sz w:val="28"/>
        </w:rPr>
        <w:t>12. BIENESTAR LABORAL</w:t>
      </w:r>
    </w:p>
    <w:p>
      <w:pPr>
        <w:jc w:val="both"/>
      </w:pPr>
      <w:r>
        <w:rPr>
          <w:rFonts w:ascii="Calibri" w:hAnsi="Calibri"/>
          <w:b w:val="0"/>
          <w:sz w:val="22"/>
        </w:rPr>
        <w:t>El consultorio se compromete con el bienestar integral de su talento humano, reconociendo que el bienestar del personal es fundamental para la calidad de la atención a los pacientes.</w:t>
      </w:r>
    </w:p>
    <w:p>
      <w:pPr>
        <w:pStyle w:val="Heading2"/>
      </w:pPr>
      <w:r>
        <w:rPr>
          <w:b/>
          <w:color w:val="2E74B5"/>
          <w:sz w:val="24"/>
        </w:rPr>
        <w:t>12.1 Seguridad y Salud en el Trabajo</w:t>
      </w:r>
    </w:p>
    <w:p>
      <w:pPr>
        <w:jc w:val="both"/>
      </w:pPr>
      <w:r>
        <w:rPr>
          <w:rFonts w:ascii="Calibri" w:hAnsi="Calibri"/>
          <w:b w:val="0"/>
          <w:sz w:val="22"/>
        </w:rPr>
        <w:t>En cumplimiento de la Ley 1562 de 2012 y el Decreto 1072 de 2015, el consultorio implementa las siguientes medidas de seguridad y salud en el trabajo:</w:t>
      </w:r>
    </w:p>
    <w:p>
      <w:pPr>
        <w:pStyle w:val="ListBullet"/>
        <w:jc w:val="both"/>
      </w:pPr>
      <w:r>
        <w:rPr>
          <w:rFonts w:ascii="Calibri" w:hAnsi="Calibri"/>
          <w:sz w:val="22"/>
        </w:rPr>
        <w:t>Afiliación de todo el personal a la ARL correspondiente antes del inicio de actividades</w:t>
      </w:r>
    </w:p>
    <w:p>
      <w:pPr>
        <w:pStyle w:val="ListBullet"/>
        <w:jc w:val="both"/>
      </w:pPr>
      <w:r>
        <w:rPr>
          <w:rFonts w:ascii="Calibri" w:hAnsi="Calibri"/>
          <w:sz w:val="22"/>
        </w:rPr>
        <w:t>Identificación y evaluación de los riesgos ocupacionales específicos del cargo (riesgo biológico, ergonómico, psicosocial)</w:t>
      </w:r>
    </w:p>
    <w:p>
      <w:pPr>
        <w:pStyle w:val="ListBullet"/>
        <w:jc w:val="both"/>
      </w:pPr>
      <w:r>
        <w:rPr>
          <w:rFonts w:ascii="Calibri" w:hAnsi="Calibri"/>
          <w:sz w:val="22"/>
        </w:rPr>
        <w:t>Provisión de elementos de protección personal (EPP) suficientes y adecuados: guantes, tapabocas, gafas de protección, bata</w:t>
      </w:r>
    </w:p>
    <w:p>
      <w:pPr>
        <w:pStyle w:val="ListBullet"/>
        <w:jc w:val="both"/>
      </w:pPr>
      <w:r>
        <w:rPr>
          <w:rFonts w:ascii="Calibri" w:hAnsi="Calibri"/>
          <w:sz w:val="22"/>
        </w:rPr>
        <w:t>Vacunación del personal asistencial: Hepatitis B (esquema completo), Tétanos, Influenza (anual)</w:t>
      </w:r>
    </w:p>
    <w:p>
      <w:pPr>
        <w:pStyle w:val="ListBullet"/>
        <w:jc w:val="both"/>
      </w:pPr>
      <w:r>
        <w:rPr>
          <w:rFonts w:ascii="Calibri" w:hAnsi="Calibri"/>
          <w:sz w:val="22"/>
        </w:rPr>
        <w:t>Protocolo de accidente de trabajo con riesgo biológico: lavado inmediato, reporte a ARL, seguimiento</w:t>
      </w:r>
    </w:p>
    <w:p>
      <w:pPr>
        <w:pStyle w:val="ListBullet"/>
        <w:jc w:val="both"/>
      </w:pPr>
      <w:r>
        <w:rPr>
          <w:rFonts w:ascii="Calibri" w:hAnsi="Calibri"/>
          <w:sz w:val="22"/>
        </w:rPr>
        <w:t>Exámenes médicos periódicos de monitoreo según los riesgos identificados</w:t>
      </w:r>
    </w:p>
    <w:p>
      <w:pPr>
        <w:pStyle w:val="ListBullet"/>
        <w:jc w:val="both"/>
      </w:pPr>
      <w:r>
        <w:rPr>
          <w:rFonts w:ascii="Calibri" w:hAnsi="Calibri"/>
          <w:sz w:val="22"/>
        </w:rPr>
        <w:t>Condiciones ergonómicas adecuadas en el puesto de trabajo</w:t>
      </w:r>
    </w:p>
    <w:p>
      <w:pPr>
        <w:pStyle w:val="Heading2"/>
      </w:pPr>
      <w:r>
        <w:rPr>
          <w:b/>
          <w:color w:val="2E74B5"/>
          <w:sz w:val="24"/>
        </w:rPr>
        <w:t>12.2 Salud Mental y Prevención del Burnout</w:t>
      </w:r>
    </w:p>
    <w:p>
      <w:pPr>
        <w:jc w:val="both"/>
      </w:pPr>
      <w:r>
        <w:rPr>
          <w:rFonts w:ascii="Calibri" w:hAnsi="Calibri"/>
          <w:b w:val="0"/>
          <w:sz w:val="22"/>
        </w:rPr>
        <w:t>El ejercicio de la medicina general, especialmente en consultorios unipersonales, puede generar altos niveles de estrés y riesgo de síndrome de burnout. El consultorio promueve las siguientes estrategias de bienestar mental:</w:t>
      </w:r>
    </w:p>
    <w:p>
      <w:pPr>
        <w:pStyle w:val="ListBullet"/>
        <w:jc w:val="both"/>
      </w:pPr>
      <w:r>
        <w:rPr>
          <w:rFonts w:ascii="Calibri" w:hAnsi="Calibri"/>
          <w:sz w:val="22"/>
        </w:rPr>
        <w:t>Establecer límites claros entre el tiempo de trabajo y el tiempo personal</w:t>
      </w:r>
    </w:p>
    <w:p>
      <w:pPr>
        <w:pStyle w:val="ListBullet"/>
        <w:jc w:val="both"/>
      </w:pPr>
      <w:r>
        <w:rPr>
          <w:rFonts w:ascii="Calibri" w:hAnsi="Calibri"/>
          <w:sz w:val="22"/>
        </w:rPr>
        <w:t>Organizar la agenda de manera que permita pausas activas durante la jornada laboral</w:t>
      </w:r>
    </w:p>
    <w:p>
      <w:pPr>
        <w:pStyle w:val="ListBullet"/>
        <w:jc w:val="both"/>
      </w:pPr>
      <w:r>
        <w:rPr>
          <w:rFonts w:ascii="Calibri" w:hAnsi="Calibri"/>
          <w:sz w:val="22"/>
        </w:rPr>
        <w:t>Participar en redes de apoyo entre pares médicos (sociedades científicas, grupos de colegas)</w:t>
      </w:r>
    </w:p>
    <w:p>
      <w:pPr>
        <w:pStyle w:val="ListBullet"/>
        <w:jc w:val="both"/>
      </w:pPr>
      <w:r>
        <w:rPr>
          <w:rFonts w:ascii="Calibri" w:hAnsi="Calibri"/>
          <w:sz w:val="22"/>
        </w:rPr>
        <w:t>Buscar supervisión clínica o interconsulta con colegas cuando se presenten casos complejos o emocionalmente difíciles</w:t>
      </w:r>
    </w:p>
    <w:p>
      <w:pPr>
        <w:pStyle w:val="ListBullet"/>
        <w:jc w:val="both"/>
      </w:pPr>
      <w:r>
        <w:rPr>
          <w:rFonts w:ascii="Calibri" w:hAnsi="Calibri"/>
          <w:sz w:val="22"/>
        </w:rPr>
        <w:t>Acceder a los programas de bienestar ofrecidos por la ARL a la que está afiliada</w:t>
      </w:r>
    </w:p>
    <w:p>
      <w:pPr>
        <w:pStyle w:val="ListBullet"/>
        <w:jc w:val="both"/>
      </w:pPr>
      <w:r>
        <w:rPr>
          <w:rFonts w:ascii="Calibri" w:hAnsi="Calibri"/>
          <w:sz w:val="22"/>
        </w:rPr>
        <w:t>Reconocer los signos de agotamiento profesional y buscar apoyo oportuno</w:t>
      </w:r>
    </w:p>
    <w:p>
      <w:pPr>
        <w:pStyle w:val="Heading1"/>
      </w:pPr>
      <w:r>
        <w:rPr>
          <w:b/>
          <w:color w:val="1F497D"/>
          <w:sz w:val="28"/>
        </w:rPr>
        <w:t>13. MANEJO DE SITUACIONES ESPECIALES DE TALENTO HUMANO</w:t>
      </w:r>
    </w:p>
    <w:p>
      <w:pPr>
        <w:pStyle w:val="Heading2"/>
      </w:pPr>
      <w:r>
        <w:rPr>
          <w:b/>
          <w:color w:val="2E74B5"/>
          <w:sz w:val="24"/>
        </w:rPr>
        <w:t>13.1 Accidente de Trabajo con Riesgo Biológico</w:t>
      </w:r>
    </w:p>
    <w:p>
      <w:pPr>
        <w:pStyle w:val="ListBullet"/>
        <w:jc w:val="both"/>
      </w:pPr>
      <w:r>
        <w:rPr>
          <w:rFonts w:ascii="Calibri" w:hAnsi="Calibri"/>
          <w:sz w:val="22"/>
        </w:rPr>
        <w:t>Lavado inmediato y abundante de la zona afectada con agua y jabón (mínimo 5 minutos para piel, solución salina para mucosas)</w:t>
      </w:r>
    </w:p>
    <w:p>
      <w:pPr>
        <w:pStyle w:val="ListBullet"/>
        <w:jc w:val="both"/>
      </w:pPr>
      <w:r>
        <w:rPr>
          <w:rFonts w:ascii="Calibri" w:hAnsi="Calibri"/>
          <w:sz w:val="22"/>
        </w:rPr>
        <w:t>Notificación inmediata a la ARL dentro de las primeras 2 horas</w:t>
      </w:r>
    </w:p>
    <w:p>
      <w:pPr>
        <w:pStyle w:val="ListBullet"/>
        <w:jc w:val="both"/>
      </w:pPr>
      <w:r>
        <w:rPr>
          <w:rFonts w:ascii="Calibri" w:hAnsi="Calibri"/>
          <w:sz w:val="22"/>
        </w:rPr>
        <w:t>Evaluación médica en el centro de atención designado por la ARL</w:t>
      </w:r>
    </w:p>
    <w:p>
      <w:pPr>
        <w:pStyle w:val="ListBullet"/>
        <w:jc w:val="both"/>
      </w:pPr>
      <w:r>
        <w:rPr>
          <w:rFonts w:ascii="Calibri" w:hAnsi="Calibri"/>
          <w:sz w:val="22"/>
        </w:rPr>
        <w:t>Inicio del protocolo de profilaxis post-exposición si está indicado (para VIH, VHB)</w:t>
      </w:r>
    </w:p>
    <w:p>
      <w:pPr>
        <w:pStyle w:val="ListBullet"/>
        <w:jc w:val="both"/>
      </w:pPr>
      <w:r>
        <w:rPr>
          <w:rFonts w:ascii="Calibri" w:hAnsi="Calibri"/>
          <w:sz w:val="22"/>
        </w:rPr>
        <w:t>Seguimiento serológico según protocolo (basal, 6 semanas, 3 meses, 6 meses)</w:t>
      </w:r>
    </w:p>
    <w:p>
      <w:pPr>
        <w:pStyle w:val="ListBullet"/>
        <w:jc w:val="both"/>
      </w:pPr>
      <w:r>
        <w:rPr>
          <w:rFonts w:ascii="Calibri" w:hAnsi="Calibri"/>
          <w:sz w:val="22"/>
        </w:rPr>
        <w:t>Diligenciamiento del formulario de reporte de accidente de trabajo (FURAT)</w:t>
      </w:r>
    </w:p>
    <w:p>
      <w:pPr>
        <w:pStyle w:val="ListBullet"/>
        <w:jc w:val="both"/>
      </w:pPr>
      <w:r>
        <w:rPr>
          <w:rFonts w:ascii="Calibri" w:hAnsi="Calibri"/>
          <w:sz w:val="22"/>
        </w:rPr>
        <w:t>Análisis de la causa del accidente y medidas correctivas preventivas</w:t>
      </w:r>
    </w:p>
    <w:p>
      <w:pPr>
        <w:pStyle w:val="Heading2"/>
      </w:pPr>
      <w:r>
        <w:rPr>
          <w:b/>
          <w:color w:val="2E74B5"/>
          <w:sz w:val="24"/>
        </w:rPr>
        <w:t>13.2 Ausencia o Incapacidad del Personal</w:t>
      </w:r>
    </w:p>
    <w:p>
      <w:pPr>
        <w:jc w:val="both"/>
      </w:pPr>
      <w:r>
        <w:rPr>
          <w:rFonts w:ascii="Calibri" w:hAnsi="Calibri"/>
          <w:b w:val="0"/>
          <w:sz w:val="22"/>
        </w:rPr>
        <w:t>En caso de incapacidad o ausencia justificada de la médica propietaria, se procederá de la siguiente manera:</w:t>
      </w:r>
    </w:p>
    <w:p>
      <w:pPr>
        <w:pStyle w:val="ListBullet"/>
        <w:jc w:val="both"/>
      </w:pPr>
      <w:r>
        <w:rPr>
          <w:rFonts w:ascii="Calibri" w:hAnsi="Calibri"/>
          <w:sz w:val="22"/>
        </w:rPr>
        <w:t>Notificación oportuna a los pacientes con citas programadas (mínimo con 24 horas de anticipación cuando sea posible)</w:t>
      </w:r>
    </w:p>
    <w:p>
      <w:pPr>
        <w:pStyle w:val="ListBullet"/>
        <w:jc w:val="both"/>
      </w:pPr>
      <w:r>
        <w:rPr>
          <w:rFonts w:ascii="Calibri" w:hAnsi="Calibri"/>
          <w:sz w:val="22"/>
        </w:rPr>
        <w:t>Reprogramación de las citas para cuando la médica pueda atenderlas o remisión a otro prestador si el caso lo requiere con urgencia</w:t>
      </w:r>
    </w:p>
    <w:p>
      <w:pPr>
        <w:pStyle w:val="ListBullet"/>
        <w:jc w:val="both"/>
      </w:pPr>
      <w:r>
        <w:rPr>
          <w:rFonts w:ascii="Calibri" w:hAnsi="Calibri"/>
          <w:sz w:val="22"/>
        </w:rPr>
        <w:t>Para ausencias prolongadas superiores a 15 días, evaluar la posibilidad de vincular un médico sustituto temporal que cumpla con todos los requisitos de habilitación</w:t>
      </w:r>
    </w:p>
    <w:p>
      <w:pPr>
        <w:pStyle w:val="ListBullet"/>
        <w:jc w:val="both"/>
      </w:pPr>
      <w:r>
        <w:rPr>
          <w:rFonts w:ascii="Calibri" w:hAnsi="Calibri"/>
          <w:sz w:val="22"/>
        </w:rPr>
        <w:t>Actualización del horario de atención en el REPS si la ausencia modifica los horarios de manera permanente</w:t>
      </w:r>
    </w:p>
    <w:p>
      <w:pPr>
        <w:pStyle w:val="ListBullet"/>
        <w:jc w:val="both"/>
      </w:pPr>
      <w:r>
        <w:rPr>
          <w:rFonts w:ascii="Calibri" w:hAnsi="Calibri"/>
          <w:sz w:val="22"/>
        </w:rPr>
        <w:t>El médico sustituto debe ser inscrito en el REPS antes de iniciar actividades asistenciales</w:t>
      </w:r>
    </w:p>
    <w:p>
      <w:pPr>
        <w:pStyle w:val="Heading1"/>
      </w:pPr>
      <w:r>
        <w:rPr>
          <w:b/>
          <w:color w:val="1F497D"/>
          <w:sz w:val="28"/>
        </w:rPr>
        <w:t>14. RESPONSABLES</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Cargo</w:t>
            </w:r>
          </w:p>
        </w:tc>
        <w:tc>
          <w:tcPr>
            <w:tcW w:type="dxa" w:w="3041"/>
            <w:shd w:fill="1F497D" w:color="auto" w:val="clear"/>
          </w:tcPr>
          <w:p>
            <w:pPr>
              <w:jc w:val="center"/>
            </w:pPr>
            <w:r/>
            <w:r>
              <w:rPr>
                <w:b/>
                <w:color w:val="FFFFFF"/>
                <w:sz w:val="20"/>
              </w:rPr>
              <w:t>Responsabilidad</w:t>
            </w:r>
          </w:p>
        </w:tc>
        <w:tc>
          <w:tcPr>
            <w:tcW w:type="dxa" w:w="3041"/>
            <w:shd w:fill="1F497D" w:color="auto" w:val="clear"/>
          </w:tcPr>
          <w:p>
            <w:pPr>
              <w:jc w:val="center"/>
            </w:pPr>
            <w:r/>
            <w:r>
              <w:rPr>
                <w:b/>
                <w:color w:val="FFFFFF"/>
                <w:sz w:val="20"/>
              </w:rPr>
              <w:t>Periodicidad</w:t>
            </w:r>
          </w:p>
        </w:tc>
      </w:tr>
      <w:tr>
        <w:tc>
          <w:tcPr>
            <w:tcW w:type="dxa" w:w="3041"/>
          </w:tcPr>
          <w:p>
            <w:r>
              <w:rPr>
                <w:sz w:val="18"/>
              </w:rPr>
              <w:t>Médica General - Propietaria</w:t>
              <w:br/>
              <w:t>[NOMBRE DE LA MÉDICA]</w:t>
            </w:r>
          </w:p>
        </w:tc>
        <w:tc>
          <w:tcPr>
            <w:tcW w:type="dxa" w:w="3041"/>
          </w:tcPr>
          <w:p>
            <w:r>
              <w:rPr>
                <w:sz w:val="18"/>
              </w:rPr>
              <w:t>Responsable principal de la gestión del talento humano. Aprueba vinculaciones, evalúa desempeño, aprueba el plan de capacitación y supervisa el cumplimiento de este manual.</w:t>
            </w:r>
          </w:p>
        </w:tc>
        <w:tc>
          <w:tcPr>
            <w:tcW w:type="dxa" w:w="3041"/>
          </w:tcPr>
          <w:p>
            <w:r>
              <w:rPr>
                <w:sz w:val="18"/>
              </w:rPr>
              <w:t>Permanente</w:t>
            </w:r>
          </w:p>
        </w:tc>
      </w:tr>
      <w:tr>
        <w:tc>
          <w:tcPr>
            <w:tcW w:type="dxa" w:w="3041"/>
          </w:tcPr>
          <w:p>
            <w:r>
              <w:rPr>
                <w:sz w:val="18"/>
              </w:rPr>
              <w:t>Médica General - Propietaria</w:t>
              <w:br/>
              <w:t>[NOMBRE DE LA MÉDICA]</w:t>
            </w:r>
          </w:p>
        </w:tc>
        <w:tc>
          <w:tcPr>
            <w:tcW w:type="dxa" w:w="3041"/>
          </w:tcPr>
          <w:p>
            <w:r>
              <w:rPr>
                <w:sz w:val="18"/>
              </w:rPr>
              <w:t>Mantiene actualizados sus propios documentos de habilitación (tarjeta profesional, RETHUS, certificaciones).</w:t>
            </w:r>
          </w:p>
        </w:tc>
        <w:tc>
          <w:tcPr>
            <w:tcW w:type="dxa" w:w="3041"/>
          </w:tcPr>
          <w:p>
            <w:r>
              <w:rPr>
                <w:sz w:val="18"/>
              </w:rPr>
              <w:t>Según vencimiento de cada documento</w:t>
            </w:r>
          </w:p>
        </w:tc>
      </w:tr>
      <w:tr>
        <w:tc>
          <w:tcPr>
            <w:tcW w:type="dxa" w:w="3041"/>
          </w:tcPr>
          <w:p>
            <w:r>
              <w:rPr>
                <w:sz w:val="18"/>
              </w:rPr>
              <w:t>Personal Administrativo</w:t>
              <w:br/>
              <w:t>(si aplica)</w:t>
            </w:r>
          </w:p>
        </w:tc>
        <w:tc>
          <w:tcPr>
            <w:tcW w:type="dxa" w:w="3041"/>
          </w:tcPr>
          <w:p>
            <w:r>
              <w:rPr>
                <w:sz w:val="18"/>
              </w:rPr>
              <w:t>Apoya la gestión documental del personal, agenda capacitaciones, lleva el registro de documentos.</w:t>
            </w:r>
          </w:p>
        </w:tc>
        <w:tc>
          <w:tcPr>
            <w:tcW w:type="dxa" w:w="3041"/>
          </w:tcPr>
          <w:p>
            <w:r>
              <w:rPr>
                <w:sz w:val="18"/>
              </w:rPr>
              <w:t>Permanente</w:t>
            </w:r>
          </w:p>
        </w:tc>
      </w:tr>
      <w:tr>
        <w:tc>
          <w:tcPr>
            <w:tcW w:type="dxa" w:w="3041"/>
          </w:tcPr>
          <w:p>
            <w:r>
              <w:rPr>
                <w:sz w:val="18"/>
              </w:rPr>
              <w:t>Responsable de Gestión de Calidad</w:t>
              <w:br/>
              <w:t>[NOMBRE DE LA MÉDICA]</w:t>
            </w:r>
          </w:p>
        </w:tc>
        <w:tc>
          <w:tcPr>
            <w:tcW w:type="dxa" w:w="3041"/>
          </w:tcPr>
          <w:p>
            <w:r>
              <w:rPr>
                <w:sz w:val="18"/>
              </w:rPr>
              <w:t>Verifica el cumplimiento de los indicadores de talento humano y reporta al SOGCS según corresponda.</w:t>
            </w:r>
          </w:p>
        </w:tc>
        <w:tc>
          <w:tcPr>
            <w:tcW w:type="dxa" w:w="3041"/>
          </w:tcPr>
          <w:p>
            <w:r>
              <w:rPr>
                <w:sz w:val="18"/>
              </w:rPr>
              <w:t>Mensual/Anual</w:t>
            </w:r>
          </w:p>
        </w:tc>
      </w:tr>
    </w:tbl>
    <w:p/>
    <w:p>
      <w:pPr>
        <w:pStyle w:val="Heading1"/>
      </w:pPr>
      <w:r>
        <w:rPr>
          <w:b/>
          <w:color w:val="1F497D"/>
          <w:sz w:val="28"/>
        </w:rPr>
        <w:t>15. INDICADORES DE SEGUIMIENTO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Indicador</w:t>
            </w:r>
          </w:p>
        </w:tc>
        <w:tc>
          <w:tcPr>
            <w:tcW w:type="dxa" w:w="1824"/>
            <w:shd w:fill="1F497D" w:color="auto" w:val="clear"/>
          </w:tcPr>
          <w:p>
            <w:pPr>
              <w:jc w:val="center"/>
            </w:pPr>
            <w:r/>
            <w:r>
              <w:rPr>
                <w:b/>
                <w:color w:val="FFFFFF"/>
                <w:sz w:val="20"/>
              </w:rPr>
              <w:t>Fórmula</w:t>
            </w:r>
          </w:p>
        </w:tc>
        <w:tc>
          <w:tcPr>
            <w:tcW w:type="dxa" w:w="1824"/>
            <w:shd w:fill="1F497D" w:color="auto" w:val="clear"/>
          </w:tcPr>
          <w:p>
            <w:pPr>
              <w:jc w:val="center"/>
            </w:pPr>
            <w:r/>
            <w:r>
              <w:rPr>
                <w:b/>
                <w:color w:val="FFFFFF"/>
                <w:sz w:val="20"/>
              </w:rPr>
              <w:t>Meta</w:t>
            </w:r>
          </w:p>
        </w:tc>
        <w:tc>
          <w:tcPr>
            <w:tcW w:type="dxa" w:w="1824"/>
            <w:shd w:fill="1F497D" w:color="auto" w:val="clear"/>
          </w:tcPr>
          <w:p>
            <w:pPr>
              <w:jc w:val="center"/>
            </w:pPr>
            <w:r/>
            <w:r>
              <w:rPr>
                <w:b/>
                <w:color w:val="FFFFFF"/>
                <w:sz w:val="20"/>
              </w:rPr>
              <w:t>Frecuencia</w:t>
            </w:r>
          </w:p>
        </w:tc>
        <w:tc>
          <w:tcPr>
            <w:tcW w:type="dxa" w:w="1824"/>
            <w:shd w:fill="1F497D" w:color="auto" w:val="clear"/>
          </w:tcPr>
          <w:p>
            <w:pPr>
              <w:jc w:val="center"/>
            </w:pPr>
            <w:r/>
            <w:r>
              <w:rPr>
                <w:b/>
                <w:color w:val="FFFFFF"/>
                <w:sz w:val="20"/>
              </w:rPr>
              <w:t>Responsable</w:t>
            </w:r>
          </w:p>
        </w:tc>
      </w:tr>
      <w:tr>
        <w:tc>
          <w:tcPr>
            <w:tcW w:type="dxa" w:w="1824"/>
          </w:tcPr>
          <w:p>
            <w:r>
              <w:rPr>
                <w:sz w:val="18"/>
              </w:rPr>
              <w:t>% cumplimiento requisitos de habilitación del talento humano</w:t>
            </w:r>
          </w:p>
        </w:tc>
        <w:tc>
          <w:tcPr>
            <w:tcW w:type="dxa" w:w="1824"/>
          </w:tcPr>
          <w:p>
            <w:r>
              <w:rPr>
                <w:sz w:val="18"/>
              </w:rPr>
              <w:t>(N° de requisitos cumplidos / N° total de requisitos exigidos) × 100</w:t>
            </w:r>
          </w:p>
        </w:tc>
        <w:tc>
          <w:tcPr>
            <w:tcW w:type="dxa" w:w="1824"/>
          </w:tcPr>
          <w:p>
            <w:r>
              <w:rPr>
                <w:sz w:val="18"/>
              </w:rPr>
              <w:t>100%</w:t>
            </w:r>
          </w:p>
        </w:tc>
        <w:tc>
          <w:tcPr>
            <w:tcW w:type="dxa" w:w="1824"/>
          </w:tcPr>
          <w:p>
            <w:r>
              <w:rPr>
                <w:sz w:val="18"/>
              </w:rPr>
              <w:t>Semestral</w:t>
            </w:r>
          </w:p>
        </w:tc>
        <w:tc>
          <w:tcPr>
            <w:tcW w:type="dxa" w:w="1824"/>
          </w:tcPr>
          <w:p>
            <w:r>
              <w:rPr>
                <w:sz w:val="18"/>
              </w:rPr>
              <w:t>[NOMBRE DE LA MÉDICA]</w:t>
            </w:r>
          </w:p>
        </w:tc>
      </w:tr>
      <w:tr>
        <w:tc>
          <w:tcPr>
            <w:tcW w:type="dxa" w:w="1824"/>
          </w:tcPr>
          <w:p>
            <w:r>
              <w:rPr>
                <w:sz w:val="18"/>
              </w:rPr>
              <w:t>% cumplimiento del plan de capacitación anual</w:t>
            </w:r>
          </w:p>
        </w:tc>
        <w:tc>
          <w:tcPr>
            <w:tcW w:type="dxa" w:w="1824"/>
          </w:tcPr>
          <w:p>
            <w:r>
              <w:rPr>
                <w:sz w:val="18"/>
              </w:rPr>
              <w:t>(N° de capacitaciones realizadas / N° de capacitaciones programadas) × 100</w:t>
            </w:r>
          </w:p>
        </w:tc>
        <w:tc>
          <w:tcPr>
            <w:tcW w:type="dxa" w:w="1824"/>
          </w:tcPr>
          <w:p>
            <w:r>
              <w:rPr>
                <w:sz w:val="18"/>
              </w:rPr>
              <w:t>≥ 80%</w:t>
            </w:r>
          </w:p>
        </w:tc>
        <w:tc>
          <w:tcPr>
            <w:tcW w:type="dxa" w:w="1824"/>
          </w:tcPr>
          <w:p>
            <w:r>
              <w:rPr>
                <w:sz w:val="18"/>
              </w:rPr>
              <w:t>Anual</w:t>
            </w:r>
          </w:p>
        </w:tc>
        <w:tc>
          <w:tcPr>
            <w:tcW w:type="dxa" w:w="1824"/>
          </w:tcPr>
          <w:p>
            <w:r>
              <w:rPr>
                <w:sz w:val="18"/>
              </w:rPr>
              <w:t>[NOMBRE DE LA MÉDICA]</w:t>
            </w:r>
          </w:p>
        </w:tc>
      </w:tr>
      <w:tr>
        <w:tc>
          <w:tcPr>
            <w:tcW w:type="dxa" w:w="1824"/>
          </w:tcPr>
          <w:p>
            <w:r>
              <w:rPr>
                <w:sz w:val="18"/>
              </w:rPr>
              <w:t>% de personal con evaluación de desempeño realizada</w:t>
            </w:r>
          </w:p>
        </w:tc>
        <w:tc>
          <w:tcPr>
            <w:tcW w:type="dxa" w:w="1824"/>
          </w:tcPr>
          <w:p>
            <w:r>
              <w:rPr>
                <w:sz w:val="18"/>
              </w:rPr>
              <w:t>(N° de evaluaciones realizadas / N° de trabajadores) × 100</w:t>
            </w:r>
          </w:p>
        </w:tc>
        <w:tc>
          <w:tcPr>
            <w:tcW w:type="dxa" w:w="1824"/>
          </w:tcPr>
          <w:p>
            <w:r>
              <w:rPr>
                <w:sz w:val="18"/>
              </w:rPr>
              <w:t>100%</w:t>
            </w:r>
          </w:p>
        </w:tc>
        <w:tc>
          <w:tcPr>
            <w:tcW w:type="dxa" w:w="1824"/>
          </w:tcPr>
          <w:p>
            <w:r>
              <w:rPr>
                <w:sz w:val="18"/>
              </w:rPr>
              <w:t>Anual</w:t>
            </w:r>
          </w:p>
        </w:tc>
        <w:tc>
          <w:tcPr>
            <w:tcW w:type="dxa" w:w="1824"/>
          </w:tcPr>
          <w:p>
            <w:r>
              <w:rPr>
                <w:sz w:val="18"/>
              </w:rPr>
              <w:t>[NOMBRE DE LA MÉDICA]</w:t>
            </w:r>
          </w:p>
        </w:tc>
      </w:tr>
      <w:tr>
        <w:tc>
          <w:tcPr>
            <w:tcW w:type="dxa" w:w="1824"/>
          </w:tcPr>
          <w:p>
            <w:r>
              <w:rPr>
                <w:sz w:val="18"/>
              </w:rPr>
              <w:t>% documentos de talento humano vigentes</w:t>
            </w:r>
          </w:p>
        </w:tc>
        <w:tc>
          <w:tcPr>
            <w:tcW w:type="dxa" w:w="1824"/>
          </w:tcPr>
          <w:p>
            <w:r>
              <w:rPr>
                <w:sz w:val="18"/>
              </w:rPr>
              <w:t>(N° de documentos vigentes / N° total de documentos requeridos) × 100</w:t>
            </w:r>
          </w:p>
        </w:tc>
        <w:tc>
          <w:tcPr>
            <w:tcW w:type="dxa" w:w="1824"/>
          </w:tcPr>
          <w:p>
            <w:r>
              <w:rPr>
                <w:sz w:val="18"/>
              </w:rPr>
              <w:t>100%</w:t>
            </w:r>
          </w:p>
        </w:tc>
        <w:tc>
          <w:tcPr>
            <w:tcW w:type="dxa" w:w="1824"/>
          </w:tcPr>
          <w:p>
            <w:r>
              <w:rPr>
                <w:sz w:val="18"/>
              </w:rPr>
              <w:t>Semestral</w:t>
            </w:r>
          </w:p>
        </w:tc>
        <w:tc>
          <w:tcPr>
            <w:tcW w:type="dxa" w:w="1824"/>
          </w:tcPr>
          <w:p>
            <w:r>
              <w:rPr>
                <w:sz w:val="18"/>
              </w:rPr>
              <w:t>[NOMBRE DE LA MÉDICA]</w:t>
            </w:r>
          </w:p>
        </w:tc>
      </w:tr>
      <w:tr>
        <w:tc>
          <w:tcPr>
            <w:tcW w:type="dxa" w:w="1824"/>
          </w:tcPr>
          <w:p>
            <w:r>
              <w:rPr>
                <w:sz w:val="18"/>
              </w:rPr>
              <w:t>N° de accidentes de trabajo</w:t>
            </w:r>
          </w:p>
        </w:tc>
        <w:tc>
          <w:tcPr>
            <w:tcW w:type="dxa" w:w="1824"/>
          </w:tcPr>
          <w:p>
            <w:r>
              <w:rPr>
                <w:sz w:val="18"/>
              </w:rPr>
              <w:t>Número absoluto de accidentes de trabajo reportados</w:t>
            </w:r>
          </w:p>
        </w:tc>
        <w:tc>
          <w:tcPr>
            <w:tcW w:type="dxa" w:w="1824"/>
          </w:tcPr>
          <w:p>
            <w:r>
              <w:rPr>
                <w:sz w:val="18"/>
              </w:rPr>
              <w:t>0</w:t>
            </w:r>
          </w:p>
        </w:tc>
        <w:tc>
          <w:tcPr>
            <w:tcW w:type="dxa" w:w="1824"/>
          </w:tcPr>
          <w:p>
            <w:r>
              <w:rPr>
                <w:sz w:val="18"/>
              </w:rPr>
              <w:t>Mensual</w:t>
            </w:r>
          </w:p>
        </w:tc>
        <w:tc>
          <w:tcPr>
            <w:tcW w:type="dxa" w:w="1824"/>
          </w:tcPr>
          <w:p>
            <w:r>
              <w:rPr>
                <w:sz w:val="18"/>
              </w:rPr>
              <w:t>[NOMBRE DE LA MÉDICA]</w:t>
            </w:r>
          </w:p>
        </w:tc>
      </w:tr>
      <w:tr>
        <w:tc>
          <w:tcPr>
            <w:tcW w:type="dxa" w:w="1824"/>
          </w:tcPr>
          <w:p>
            <w:r>
              <w:rPr>
                <w:sz w:val="18"/>
              </w:rPr>
              <w:t>% cumplimiento del programa de vacunación</w:t>
            </w:r>
          </w:p>
        </w:tc>
        <w:tc>
          <w:tcPr>
            <w:tcW w:type="dxa" w:w="1824"/>
          </w:tcPr>
          <w:p>
            <w:r>
              <w:rPr>
                <w:sz w:val="18"/>
              </w:rPr>
              <w:t>(N° de vacunas aplicadas / N° de vacunas programadas) × 100</w:t>
            </w:r>
          </w:p>
        </w:tc>
        <w:tc>
          <w:tcPr>
            <w:tcW w:type="dxa" w:w="1824"/>
          </w:tcPr>
          <w:p>
            <w:r>
              <w:rPr>
                <w:sz w:val="18"/>
              </w:rPr>
              <w:t>100%</w:t>
            </w:r>
          </w:p>
        </w:tc>
        <w:tc>
          <w:tcPr>
            <w:tcW w:type="dxa" w:w="1824"/>
          </w:tcPr>
          <w:p>
            <w:r>
              <w:rPr>
                <w:sz w:val="18"/>
              </w:rPr>
              <w:t>Anual</w:t>
            </w:r>
          </w:p>
        </w:tc>
        <w:tc>
          <w:tcPr>
            <w:tcW w:type="dxa" w:w="1824"/>
          </w:tcPr>
          <w:p>
            <w:r>
              <w:rPr>
                <w:sz w:val="18"/>
              </w:rPr>
              <w:t>[NOMBRE DE LA MÉDICA]</w:t>
            </w:r>
          </w:p>
        </w:tc>
      </w:tr>
    </w:tbl>
    <w:p/>
    <w:p>
      <w:pPr>
        <w:pStyle w:val="Heading1"/>
      </w:pPr>
      <w:r>
        <w:rPr>
          <w:b/>
          <w:color w:val="1F497D"/>
          <w:sz w:val="28"/>
        </w:rPr>
        <w:t>16. APROBACIÓN Y FIRMAS</w:t>
      </w:r>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ELABORÓ</w:t>
            </w:r>
          </w:p>
        </w:tc>
        <w:tc>
          <w:tcPr>
            <w:tcW w:type="dxa" w:w="3041"/>
            <w:shd w:fill="1F497D" w:color="auto" w:val="clear"/>
          </w:tcPr>
          <w:p>
            <w:pPr>
              <w:jc w:val="center"/>
            </w:pPr>
            <w:r/>
            <w:r>
              <w:rPr>
                <w:b/>
                <w:color w:val="FFFFFF"/>
                <w:sz w:val="20"/>
              </w:rPr>
              <w:t>REVISÓ</w:t>
            </w:r>
          </w:p>
        </w:tc>
        <w:tc>
          <w:tcPr>
            <w:tcW w:type="dxa" w:w="3041"/>
            <w:shd w:fill="1F497D" w:color="auto" w:val="clear"/>
          </w:tcPr>
          <w:p>
            <w:pPr>
              <w:jc w:val="center"/>
            </w:pPr>
            <w:r/>
            <w:r>
              <w:rPr>
                <w:b/>
                <w:color w:val="FFFFFF"/>
                <w:sz w:val="20"/>
              </w:rPr>
              <w:t>APROBÓ</w:t>
            </w:r>
          </w:p>
        </w:tc>
      </w:tr>
      <w:tr>
        <w:tc>
          <w:tcPr>
            <w:tcW w:type="dxa" w:w="3041"/>
          </w:tcPr>
          <w:p>
            <w:pPr>
              <w:jc w:val="center"/>
            </w:pPr>
            <w:r>
              <w:rPr>
                <w:sz w:val="20"/>
              </w:rPr>
              <w:t>[NOMBRE DE LA MÉDICA]</w:t>
              <w:br/>
              <w:t>Médica General</w:t>
              <w:br/>
              <w:t>Propietaria del Consultorio</w:t>
            </w:r>
          </w:p>
        </w:tc>
        <w:tc>
          <w:tcPr>
            <w:tcW w:type="dxa" w:w="3041"/>
          </w:tcPr>
          <w:p>
            <w:pPr>
              <w:jc w:val="center"/>
            </w:pPr>
            <w:r>
              <w:rPr>
                <w:sz w:val="20"/>
              </w:rPr>
              <w:t>[NOMBRE DE LA MÉDICA]</w:t>
              <w:br/>
              <w:t>Médica General</w:t>
              <w:br/>
              <w:t>Propietaria del Consultorio</w:t>
            </w:r>
          </w:p>
        </w:tc>
        <w:tc>
          <w:tcPr>
            <w:tcW w:type="dxa" w:w="3041"/>
          </w:tcPr>
          <w:p>
            <w:pPr>
              <w:jc w:val="center"/>
            </w:pPr>
            <w:r>
              <w:rPr>
                <w:sz w:val="20"/>
              </w:rPr>
              <w:t>[NOMBRE DE LA MÉDICA]</w:t>
              <w:br/>
              <w:t>Médica General</w:t>
              <w:br/>
              <w:t>Propietaria del Consultorio</w:t>
            </w:r>
          </w:p>
        </w:tc>
      </w:tr>
      <w:tr>
        <w:tc>
          <w:tcPr>
            <w:tcW w:type="dxa" w:w="3041"/>
          </w:tcPr>
          <w:p>
            <w:pPr>
              <w:jc w:val="center"/>
            </w:pPr>
            <w:r>
              <w:rPr>
                <w:sz w:val="20"/>
              </w:rPr>
              <w:t>Firma: _________________________</w:t>
              <w:br/>
              <w:br/>
              <w:t>Fecha: 07/06/2026</w:t>
            </w:r>
          </w:p>
        </w:tc>
        <w:tc>
          <w:tcPr>
            <w:tcW w:type="dxa" w:w="3041"/>
          </w:tcPr>
          <w:p>
            <w:pPr>
              <w:jc w:val="center"/>
            </w:pPr>
            <w:r>
              <w:rPr>
                <w:sz w:val="20"/>
              </w:rPr>
              <w:t>Firma: _________________________</w:t>
              <w:br/>
              <w:br/>
              <w:t>Fecha: 07/06/2026</w:t>
            </w:r>
          </w:p>
        </w:tc>
        <w:tc>
          <w:tcPr>
            <w:tcW w:type="dxa" w:w="3041"/>
          </w:tcPr>
          <w:p>
            <w:pPr>
              <w:jc w:val="center"/>
            </w:pPr>
            <w:r>
              <w:rPr>
                <w:sz w:val="20"/>
              </w:rPr>
              <w:t>Firma: _________________________</w:t>
              <w:br/>
              <w:br/>
              <w:t>Fecha: 07/06/2026</w:t>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MAN-TH-001 - Versión 1.0 - 07/06/2026    |    Página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MÉDICO [NOMBRE DEL CONSULTORIO]  |  MAN-TH-001  |  Manual de Talento Humano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