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36"/>
        </w:rPr>
        <w:t>CONSULTORIO MÉDICO</w:t>
        <w:br/>
        <w:t>[NOMBRE DEL CONSULTORIO]</w:t>
      </w:r>
    </w:p>
    <w:p/>
    <w:p>
      <w:pPr>
        <w:jc w:val="center"/>
      </w:pPr>
      <w:r>
        <w:rPr>
          <w:b/>
          <w:sz w:val="32"/>
        </w:rPr>
        <w:t>MANUAL DE GESTIÓN DE INFRAESTRUCTURA</w:t>
      </w:r>
    </w:p>
    <w:p/>
    <w:tbl>
      <w:tblPr>
        <w:tblStyle w:val="TableGrid"/>
        <w:tblW w:type="auto" w:w="0"/>
        <w:jc w:val="center"/>
        <w:tblLook w:firstColumn="1" w:firstRow="1" w:lastColumn="0" w:lastRow="0" w:noHBand="0" w:noVBand="1" w:val="04A0"/>
      </w:tblPr>
      <w:tblGrid>
        <w:gridCol w:w="4561"/>
        <w:gridCol w:w="4561"/>
      </w:tblGrid>
      <w:tr>
        <w:tc>
          <w:tcPr>
            <w:tcW w:type="dxa" w:w="4561"/>
          </w:tcPr>
          <w:p>
            <w:r>
              <w:rPr>
                <w:b/>
              </w:rPr>
              <w:t>Código:</w:t>
            </w:r>
          </w:p>
        </w:tc>
        <w:tc>
          <w:tcPr>
            <w:tcW w:type="dxa" w:w="4561"/>
          </w:tcPr>
          <w:p>
            <w:r>
              <w:t>MAN-INF-001</w:t>
            </w:r>
          </w:p>
        </w:tc>
      </w:tr>
      <w:tr>
        <w:tc>
          <w:tcPr>
            <w:tcW w:type="dxa" w:w="4561"/>
          </w:tcPr>
          <w:p>
            <w:r>
              <w:rPr>
                <w:b/>
              </w:rPr>
              <w:t>Versión:</w:t>
            </w:r>
          </w:p>
        </w:tc>
        <w:tc>
          <w:tcPr>
            <w:tcW w:type="dxa" w:w="4561"/>
          </w:tcPr>
          <w:p>
            <w:r>
              <w:t>1.0</w:t>
            </w:r>
          </w:p>
        </w:tc>
      </w:tr>
      <w:tr>
        <w:tc>
          <w:tcPr>
            <w:tcW w:type="dxa" w:w="4561"/>
          </w:tcPr>
          <w:p>
            <w:r>
              <w:rPr>
                <w:b/>
              </w:rPr>
              <w:t>Fecha:</w:t>
            </w:r>
          </w:p>
        </w:tc>
        <w:tc>
          <w:tcPr>
            <w:tcW w:type="dxa" w:w="4561"/>
          </w:tcPr>
          <w:p>
            <w:r>
              <w:t>07/06/2026</w:t>
            </w:r>
          </w:p>
        </w:tc>
      </w:tr>
      <w:tr>
        <w:tc>
          <w:tcPr>
            <w:tcW w:type="dxa" w:w="4561"/>
          </w:tcPr>
          <w:p>
            <w:r>
              <w:rPr>
                <w:b/>
              </w:rPr>
              <w:t>Elaboró:</w:t>
            </w:r>
          </w:p>
        </w:tc>
        <w:tc>
          <w:tcPr>
            <w:tcW w:type="dxa" w:w="4561"/>
          </w:tcPr>
          <w:p>
            <w:r>
              <w:t>[NOMBRE DE LA MÉDICA], Médica General</w:t>
            </w:r>
          </w:p>
        </w:tc>
      </w:tr>
      <w:tr>
        <w:tc>
          <w:tcPr>
            <w:tcW w:type="dxa" w:w="4561"/>
          </w:tcPr>
          <w:p>
            <w:r>
              <w:rPr>
                <w:b/>
              </w:rPr>
              <w:t>Revisó:</w:t>
            </w:r>
          </w:p>
        </w:tc>
        <w:tc>
          <w:tcPr>
            <w:tcW w:type="dxa" w:w="4561"/>
          </w:tcPr>
          <w:p>
            <w:r>
              <w:t>[NOMBRE DE LA MÉDICA], Propietaria</w:t>
            </w:r>
          </w:p>
        </w:tc>
      </w:tr>
      <w:tr>
        <w:tc>
          <w:tcPr>
            <w:tcW w:type="dxa" w:w="4561"/>
          </w:tcPr>
          <w:p>
            <w:r>
              <w:rPr>
                <w:b/>
              </w:rPr>
              <w:t>Aprobó:</w:t>
            </w:r>
          </w:p>
        </w:tc>
        <w:tc>
          <w:tcPr>
            <w:tcW w:type="dxa" w:w="4561"/>
          </w:tcPr>
          <w:p>
            <w:r>
              <w:t>[NOMBRE DE LA MÉDICA], Propietaria</w:t>
            </w:r>
          </w:p>
        </w:tc>
      </w:tr>
    </w:tbl>
    <w:p>
      <w:r>
        <w:br w:type="page"/>
      </w:r>
    </w:p>
    <w:p>
      <w:pPr>
        <w:jc w:val="center"/>
      </w:pPr>
      <w:r>
        <w:rPr>
          <w:b/>
          <w:color w:val="1F497D"/>
          <w:sz w:val="26"/>
        </w:rPr>
        <w:t>CONTROL DE VERSIONES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F497D" w:color="auto" w:val="clear"/>
          </w:tcPr>
          <w:p>
            <w:pPr>
              <w:jc w:val="center"/>
            </w:pPr>
            <w:r/>
            <w:r>
              <w:rPr>
                <w:b/>
                <w:color w:val="FFFFFF"/>
                <w:sz w:val="20"/>
              </w:rPr>
              <w:t>Versión</w:t>
            </w:r>
          </w:p>
        </w:tc>
        <w:tc>
          <w:tcPr>
            <w:tcW w:type="dxa" w:w="1824"/>
            <w:shd w:fill="1F497D" w:color="auto" w:val="clear"/>
          </w:tcPr>
          <w:p>
            <w:pPr>
              <w:jc w:val="center"/>
            </w:pPr>
            <w:r/>
            <w:r>
              <w:rPr>
                <w:b/>
                <w:color w:val="FFFFFF"/>
                <w:sz w:val="20"/>
              </w:rPr>
              <w:t>Fecha</w:t>
            </w:r>
          </w:p>
        </w:tc>
        <w:tc>
          <w:tcPr>
            <w:tcW w:type="dxa" w:w="1824"/>
            <w:shd w:fill="1F497D" w:color="auto" w:val="clear"/>
          </w:tcPr>
          <w:p>
            <w:pPr>
              <w:jc w:val="center"/>
            </w:pPr>
            <w:r/>
            <w:r>
              <w:rPr>
                <w:b/>
                <w:color w:val="FFFFFF"/>
                <w:sz w:val="20"/>
              </w:rPr>
              <w:t>Cambio</w:t>
            </w:r>
          </w:p>
        </w:tc>
        <w:tc>
          <w:tcPr>
            <w:tcW w:type="dxa" w:w="1824"/>
            <w:shd w:fill="1F497D" w:color="auto" w:val="clear"/>
          </w:tcPr>
          <w:p>
            <w:pPr>
              <w:jc w:val="center"/>
            </w:pPr>
            <w:r/>
            <w:r>
              <w:rPr>
                <w:b/>
                <w:color w:val="FFFFFF"/>
                <w:sz w:val="20"/>
              </w:rPr>
              <w:t>Elaboró</w:t>
            </w:r>
          </w:p>
        </w:tc>
        <w:tc>
          <w:tcPr>
            <w:tcW w:type="dxa" w:w="1824"/>
            <w:shd w:fill="1F497D" w:color="auto" w:val="clear"/>
          </w:tcPr>
          <w:p>
            <w:pPr>
              <w:jc w:val="center"/>
            </w:pPr>
            <w:r/>
            <w:r>
              <w:rPr>
                <w:b/>
                <w:color w:val="FFFFFF"/>
                <w:sz w:val="20"/>
              </w:rPr>
              <w:t>Aprobó</w:t>
            </w:r>
          </w:p>
        </w:tc>
      </w:tr>
      <w:tr>
        <w:tc>
          <w:tcPr>
            <w:tcW w:type="dxa" w:w="1824"/>
          </w:tcPr>
          <w:p>
            <w:r>
              <w:t>1.0</w:t>
            </w:r>
          </w:p>
        </w:tc>
        <w:tc>
          <w:tcPr>
            <w:tcW w:type="dxa" w:w="1824"/>
          </w:tcPr>
          <w:p>
            <w:r>
              <w:t>07/06/2026</w:t>
            </w:r>
          </w:p>
        </w:tc>
        <w:tc>
          <w:tcPr>
            <w:tcW w:type="dxa" w:w="1824"/>
          </w:tcPr>
          <w:p>
            <w:r>
              <w:t>Versión inicial</w:t>
            </w:r>
          </w:p>
        </w:tc>
        <w:tc>
          <w:tcPr>
            <w:tcW w:type="dxa" w:w="1824"/>
          </w:tcPr>
          <w:p>
            <w:r>
              <w:t>[NOMBRE DE LA MÉDICA]</w:t>
            </w:r>
          </w:p>
        </w:tc>
        <w:tc>
          <w:tcPr>
            <w:tcW w:type="dxa" w:w="1824"/>
          </w:tcPr>
          <w:p>
            <w:r>
              <w:t>[NOMBRE DE LA MÉDICA]</w:t>
            </w:r>
          </w:p>
        </w:tc>
      </w:tr>
      <w:tr>
        <w:tc>
          <w:tcPr>
            <w:tcW w:type="dxa" w:w="1824"/>
          </w:tcPr>
          <w:p/>
        </w:tc>
        <w:tc>
          <w:tcPr>
            <w:tcW w:type="dxa" w:w="1824"/>
          </w:tcPr>
          <w:p/>
        </w:tc>
        <w:tc>
          <w:tcPr>
            <w:tcW w:type="dxa" w:w="1824"/>
          </w:tcPr>
          <w:p/>
        </w:tc>
        <w:tc>
          <w:tcPr>
            <w:tcW w:type="dxa" w:w="1824"/>
          </w:tcPr>
          <w:p/>
        </w:tc>
        <w:tc>
          <w:tcPr>
            <w:tcW w:type="dxa" w:w="1824"/>
          </w:tcPr>
          <w:p/>
        </w:tc>
      </w:tr>
    </w:tbl>
    <w:p>
      <w:r>
        <w:br w:type="page"/>
      </w:r>
    </w:p>
    <w:p>
      <w:pPr>
        <w:pStyle w:val="Heading1"/>
      </w:pPr>
      <w:r>
        <w:rPr>
          <w:b/>
          <w:color w:val="1F497D"/>
          <w:sz w:val="28"/>
        </w:rPr>
        <w:t>1. OBJETIVO</w:t>
      </w:r>
    </w:p>
    <w:p>
      <w:pPr>
        <w:jc w:val="both"/>
      </w:pPr>
      <w:r>
        <w:rPr>
          <w:rFonts w:ascii="Calibri" w:hAnsi="Calibri"/>
          <w:b w:val="0"/>
          <w:sz w:val="22"/>
        </w:rPr>
        <w:t>Establecer los lineamientos para la gestión, mantenimiento y mejora de la infraestructura física del Consultorio Médico [NOMBRE DEL CONSULTORIO], garantizando que las instalaciones cumplan con los estándares mínimos establecidos en la Resolución 3100 de 2019 del Ministerio de Salud y Protección Social, y brinden condiciones seguras, dignas y adecuadas para la atención de los pacientes y el trabajo del personal.</w:t>
      </w:r>
    </w:p>
    <w:p>
      <w:pPr>
        <w:pStyle w:val="Heading1"/>
      </w:pPr>
      <w:r>
        <w:rPr>
          <w:b/>
          <w:color w:val="1F497D"/>
          <w:sz w:val="28"/>
        </w:rPr>
        <w:t>2. ALCANCE</w:t>
      </w:r>
    </w:p>
    <w:p>
      <w:pPr>
        <w:jc w:val="both"/>
      </w:pPr>
      <w:r>
        <w:rPr>
          <w:rFonts w:ascii="Calibri" w:hAnsi="Calibri"/>
          <w:b w:val="0"/>
          <w:sz w:val="22"/>
        </w:rPr>
        <w:t>Aplica a todas las áreas físicas del Consultorio [NOMBRE DEL CONSULTORIO] ubicado en [DIRECCIÓN DEL CONSULTORIO], [CIUDAD]: sala de espera, consultorio médico, área de procedimientos (si aplica), baño, área de esterilización/desinfección y demás espacios del establecimiento.</w:t>
      </w:r>
    </w:p>
    <w:p>
      <w:pPr>
        <w:pStyle w:val="Heading1"/>
      </w:pPr>
      <w:r>
        <w:rPr>
          <w:b/>
          <w:color w:val="1F497D"/>
          <w:sz w:val="28"/>
        </w:rPr>
        <w:t>3. MARCO LEGAL</w:t>
      </w:r>
    </w:p>
    <w:tbl>
      <w:tblPr>
        <w:tblStyle w:val="TableGrid"/>
        <w:tblW w:type="auto" w:w="0"/>
        <w:tblLook w:firstColumn="1" w:firstRow="1" w:lastColumn="0" w:lastRow="0" w:noHBand="0" w:noVBand="1" w:val="04A0"/>
      </w:tblPr>
      <w:tblGrid>
        <w:gridCol w:w="4561"/>
        <w:gridCol w:w="4561"/>
      </w:tblGrid>
      <w:tr>
        <w:tc>
          <w:tcPr>
            <w:tcW w:type="dxa" w:w="4561"/>
            <w:shd w:fill="1F497D" w:color="auto" w:val="clear"/>
          </w:tcPr>
          <w:p>
            <w:pPr>
              <w:jc w:val="center"/>
            </w:pPr>
            <w:r/>
            <w:r>
              <w:rPr>
                <w:b/>
                <w:color w:val="FFFFFF"/>
                <w:sz w:val="20"/>
              </w:rPr>
              <w:t>Norma</w:t>
            </w:r>
          </w:p>
        </w:tc>
        <w:tc>
          <w:tcPr>
            <w:tcW w:type="dxa" w:w="4561"/>
            <w:shd w:fill="1F497D" w:color="auto" w:val="clear"/>
          </w:tcPr>
          <w:p>
            <w:pPr>
              <w:jc w:val="center"/>
            </w:pPr>
            <w:r/>
            <w:r>
              <w:rPr>
                <w:b/>
                <w:color w:val="FFFFFF"/>
                <w:sz w:val="20"/>
              </w:rPr>
              <w:t>Descripción y aplicabilidad</w:t>
            </w:r>
          </w:p>
        </w:tc>
      </w:tr>
      <w:tr>
        <w:tc>
          <w:tcPr>
            <w:tcW w:type="dxa" w:w="4561"/>
          </w:tcPr>
          <w:p>
            <w:r>
              <w:rPr>
                <w:sz w:val="20"/>
              </w:rPr>
              <w:t>Resolución 3100 de 2019</w:t>
            </w:r>
          </w:p>
        </w:tc>
        <w:tc>
          <w:tcPr>
            <w:tcW w:type="dxa" w:w="4561"/>
          </w:tcPr>
          <w:p>
            <w:r>
              <w:rPr>
                <w:sz w:val="20"/>
              </w:rPr>
              <w:t>Estándares mínimos de habilitación de infraestructura para servicios de salud, Anexo Técnico 1.</w:t>
            </w:r>
          </w:p>
        </w:tc>
      </w:tr>
      <w:tr>
        <w:tc>
          <w:tcPr>
            <w:tcW w:type="dxa" w:w="4561"/>
          </w:tcPr>
          <w:p>
            <w:r>
              <w:rPr>
                <w:sz w:val="20"/>
              </w:rPr>
              <w:t>Decreto 351 de 2014</w:t>
            </w:r>
          </w:p>
        </w:tc>
        <w:tc>
          <w:tcPr>
            <w:tcW w:type="dxa" w:w="4561"/>
          </w:tcPr>
          <w:p>
            <w:r>
              <w:rPr>
                <w:sz w:val="20"/>
              </w:rPr>
              <w:t>Gestión integral de los residuos generados en la atención en salud. Aplica para el diseño de áreas de almacenamiento de residuos.</w:t>
            </w:r>
          </w:p>
        </w:tc>
      </w:tr>
      <w:tr>
        <w:tc>
          <w:tcPr>
            <w:tcW w:type="dxa" w:w="4561"/>
          </w:tcPr>
          <w:p>
            <w:r>
              <w:rPr>
                <w:sz w:val="20"/>
              </w:rPr>
              <w:t>Resolución 1164 de 2002</w:t>
            </w:r>
          </w:p>
        </w:tc>
        <w:tc>
          <w:tcPr>
            <w:tcW w:type="dxa" w:w="4561"/>
          </w:tcPr>
          <w:p>
            <w:r>
              <w:rPr>
                <w:sz w:val="20"/>
              </w:rPr>
              <w:t>Manual de procedimientos para la gestión integral de residuos hospitalarios y similares (MPGIRH). Complemento al Decreto 351/2014.</w:t>
            </w:r>
          </w:p>
        </w:tc>
      </w:tr>
      <w:tr>
        <w:tc>
          <w:tcPr>
            <w:tcW w:type="dxa" w:w="4561"/>
          </w:tcPr>
          <w:p>
            <w:r>
              <w:rPr>
                <w:sz w:val="20"/>
              </w:rPr>
              <w:t>NSR-10</w:t>
            </w:r>
          </w:p>
        </w:tc>
        <w:tc>
          <w:tcPr>
            <w:tcW w:type="dxa" w:w="4561"/>
          </w:tcPr>
          <w:p>
            <w:r>
              <w:rPr>
                <w:sz w:val="20"/>
              </w:rPr>
              <w:t>Reglamento Colombiano de Construcción Sismo Resistente. Requisitos estructurales de las edificaciones.</w:t>
            </w:r>
          </w:p>
        </w:tc>
      </w:tr>
      <w:tr>
        <w:tc>
          <w:tcPr>
            <w:tcW w:type="dxa" w:w="4561"/>
          </w:tcPr>
          <w:p>
            <w:r>
              <w:rPr>
                <w:sz w:val="20"/>
              </w:rPr>
              <w:t>NTC 4595</w:t>
            </w:r>
          </w:p>
        </w:tc>
        <w:tc>
          <w:tcPr>
            <w:tcW w:type="dxa" w:w="4561"/>
          </w:tcPr>
          <w:p>
            <w:r>
              <w:rPr>
                <w:sz w:val="20"/>
              </w:rPr>
              <w:t>Norma Técnica Colombiana sobre planeamiento y diseño de instalaciones y ambientes escolares (referencia para espacios accesibles).</w:t>
            </w:r>
          </w:p>
        </w:tc>
      </w:tr>
      <w:tr>
        <w:tc>
          <w:tcPr>
            <w:tcW w:type="dxa" w:w="4561"/>
          </w:tcPr>
          <w:p>
            <w:r>
              <w:rPr>
                <w:sz w:val="20"/>
              </w:rPr>
              <w:t>Ley 361 de 1997</w:t>
            </w:r>
          </w:p>
        </w:tc>
        <w:tc>
          <w:tcPr>
            <w:tcW w:type="dxa" w:w="4561"/>
          </w:tcPr>
          <w:p>
            <w:r>
              <w:rPr>
                <w:sz w:val="20"/>
              </w:rPr>
              <w:t>Mecanismos de integración social de personas con discapacidad. Requisitos de accesibilidad en establecimientos.</w:t>
            </w:r>
          </w:p>
        </w:tc>
      </w:tr>
      <w:tr>
        <w:tc>
          <w:tcPr>
            <w:tcW w:type="dxa" w:w="4561"/>
          </w:tcPr>
          <w:p>
            <w:r>
              <w:rPr>
                <w:sz w:val="20"/>
              </w:rPr>
              <w:t>Decreto 1072 de 2015</w:t>
            </w:r>
          </w:p>
        </w:tc>
        <w:tc>
          <w:tcPr>
            <w:tcW w:type="dxa" w:w="4561"/>
          </w:tcPr>
          <w:p>
            <w:r>
              <w:rPr>
                <w:sz w:val="20"/>
              </w:rPr>
              <w:t>Decreto Único del Sector Trabajo. Condiciones de seguridad en el lugar de trabajo.</w:t>
            </w:r>
          </w:p>
        </w:tc>
      </w:tr>
      <w:tr>
        <w:tc>
          <w:tcPr>
            <w:tcW w:type="dxa" w:w="4561"/>
          </w:tcPr>
          <w:p>
            <w:r>
              <w:rPr>
                <w:sz w:val="20"/>
              </w:rPr>
              <w:t>Resolución 0312 de 2019</w:t>
            </w:r>
          </w:p>
        </w:tc>
        <w:tc>
          <w:tcPr>
            <w:tcW w:type="dxa" w:w="4561"/>
          </w:tcPr>
          <w:p>
            <w:r>
              <w:rPr>
                <w:sz w:val="20"/>
              </w:rPr>
              <w:t>Estándares mínimos del Sistema de Gestión de Seguridad y Salud en el Trabajo.</w:t>
            </w:r>
          </w:p>
        </w:tc>
      </w:tr>
      <w:tr>
        <w:tc>
          <w:tcPr>
            <w:tcW w:type="dxa" w:w="4561"/>
          </w:tcPr>
          <w:p>
            <w:r>
              <w:rPr>
                <w:sz w:val="20"/>
              </w:rPr>
              <w:t>NTC-OHSAS 18001</w:t>
            </w:r>
          </w:p>
        </w:tc>
        <w:tc>
          <w:tcPr>
            <w:tcW w:type="dxa" w:w="4561"/>
          </w:tcPr>
          <w:p>
            <w:r>
              <w:rPr>
                <w:sz w:val="20"/>
              </w:rPr>
              <w:t>Sistemas de gestión en seguridad y salud ocupacional (referencia).</w:t>
            </w:r>
          </w:p>
        </w:tc>
      </w:tr>
    </w:tbl>
    <w:p/>
    <w:p>
      <w:pPr>
        <w:pStyle w:val="Heading1"/>
      </w:pPr>
      <w:r>
        <w:rPr>
          <w:b/>
          <w:color w:val="1F497D"/>
          <w:sz w:val="28"/>
        </w:rPr>
        <w:t>4. DEFINICIONES</w:t>
      </w:r>
    </w:p>
    <w:p>
      <w:pPr>
        <w:jc w:val="both"/>
      </w:pPr>
      <w:r>
        <w:rPr>
          <w:b/>
          <w:sz w:val="22"/>
        </w:rPr>
        <w:t xml:space="preserve">Infraestructura: </w:t>
      </w:r>
      <w:r>
        <w:rPr>
          <w:sz w:val="22"/>
        </w:rPr>
        <w:t>Conjunto de instalaciones físicas, espacios, servicios básicos y condiciones ambientales del establecimiento de salud.</w:t>
      </w:r>
    </w:p>
    <w:p>
      <w:pPr>
        <w:jc w:val="both"/>
      </w:pPr>
      <w:r>
        <w:rPr>
          <w:b/>
          <w:sz w:val="22"/>
        </w:rPr>
        <w:t xml:space="preserve">Área asistencial: </w:t>
      </w:r>
      <w:r>
        <w:rPr>
          <w:sz w:val="22"/>
        </w:rPr>
        <w:t>Espacio físico donde se prestan directamente los servicios de salud al paciente.</w:t>
      </w:r>
    </w:p>
    <w:p>
      <w:pPr>
        <w:jc w:val="both"/>
      </w:pPr>
      <w:r>
        <w:rPr>
          <w:b/>
          <w:sz w:val="22"/>
        </w:rPr>
        <w:t xml:space="preserve">Área de apoyo: </w:t>
      </w:r>
      <w:r>
        <w:rPr>
          <w:sz w:val="22"/>
        </w:rPr>
        <w:t>Espacios que complementan la atención: sala de espera, baños, áreas de almacenamiento.</w:t>
      </w:r>
    </w:p>
    <w:p>
      <w:pPr>
        <w:jc w:val="both"/>
      </w:pPr>
      <w:r>
        <w:rPr>
          <w:b/>
          <w:sz w:val="22"/>
        </w:rPr>
        <w:t xml:space="preserve">Mantenimiento preventivo: </w:t>
      </w:r>
      <w:r>
        <w:rPr>
          <w:sz w:val="22"/>
        </w:rPr>
        <w:t>Actividades programadas para prevenir el deterioro o falla de las instalaciones y equipos.</w:t>
      </w:r>
    </w:p>
    <w:p>
      <w:pPr>
        <w:jc w:val="both"/>
      </w:pPr>
      <w:r>
        <w:rPr>
          <w:b/>
          <w:sz w:val="22"/>
        </w:rPr>
        <w:t xml:space="preserve">Mantenimiento correctivo: </w:t>
      </w:r>
      <w:r>
        <w:rPr>
          <w:sz w:val="22"/>
        </w:rPr>
        <w:t>Actividades para restablecer condiciones normales de funcionamiento después de una falla.</w:t>
      </w:r>
    </w:p>
    <w:p>
      <w:pPr>
        <w:jc w:val="both"/>
      </w:pPr>
      <w:r>
        <w:rPr>
          <w:b/>
          <w:sz w:val="22"/>
        </w:rPr>
        <w:t xml:space="preserve">Accesibilidad: </w:t>
      </w:r>
      <w:r>
        <w:rPr>
          <w:sz w:val="22"/>
        </w:rPr>
        <w:t>Condiciones que permiten a las personas con discapacidad acceder, circular y usar el establecimiento sin barreras.</w:t>
      </w:r>
    </w:p>
    <w:p>
      <w:pPr>
        <w:jc w:val="both"/>
      </w:pPr>
      <w:r>
        <w:rPr>
          <w:b/>
          <w:sz w:val="22"/>
        </w:rPr>
        <w:t xml:space="preserve">Residuos biosanitarios: </w:t>
      </w:r>
      <w:r>
        <w:rPr>
          <w:sz w:val="22"/>
        </w:rPr>
        <w:t>Residuos generados en la atención en salud con potencial de riesgo biológico (Decreto 351/2014).</w:t>
      </w:r>
    </w:p>
    <w:p>
      <w:pPr>
        <w:pStyle w:val="Heading1"/>
      </w:pPr>
      <w:r>
        <w:rPr>
          <w:b/>
          <w:color w:val="1F497D"/>
          <w:sz w:val="28"/>
        </w:rPr>
        <w:t>5. ESTÁNDARES FÍSICOS SEGÚN RESOLUCIÓN 3100 DE 2019</w:t>
      </w:r>
    </w:p>
    <w:p>
      <w:pPr>
        <w:pStyle w:val="Heading2"/>
      </w:pPr>
      <w:r>
        <w:rPr>
          <w:b/>
          <w:color w:val="2E74B5"/>
          <w:sz w:val="24"/>
        </w:rPr>
        <w:t>5.1 Requisitos Generales de la Infraestructura</w:t>
      </w:r>
    </w:p>
    <w:p>
      <w:pPr>
        <w:jc w:val="both"/>
      </w:pPr>
      <w:r>
        <w:rPr>
          <w:rFonts w:ascii="Calibri" w:hAnsi="Calibri"/>
          <w:b w:val="0"/>
          <w:sz w:val="22"/>
        </w:rPr>
        <w:t>La Resolución 3100 de 2019, Anexo Técnico 1, establece los siguientes estándares de infraestructura para el servicio de Consulta de Medicina General:</w:t>
      </w:r>
    </w:p>
    <w:p>
      <w:pPr>
        <w:ind w:left="283"/>
        <w:jc w:val="both"/>
      </w:pPr>
      <w:r>
        <w:rPr>
          <w:b/>
          <w:sz w:val="22"/>
        </w:rPr>
        <w:t xml:space="preserve">• Área mínima del consultorio: </w:t>
      </w:r>
      <w:r>
        <w:rPr>
          <w:sz w:val="22"/>
        </w:rPr>
        <w:t>12 m² - El consultorio médico debe tener un área mínima de 12 metros cuadrados de área útil, suficiente para contener el escritorio médico, la camilla de examen, área de lavado de manos y espacio para desplazamiento del médico y el paciente.</w:t>
      </w:r>
    </w:p>
    <w:p>
      <w:pPr>
        <w:ind w:left="283"/>
        <w:jc w:val="both"/>
      </w:pPr>
      <w:r>
        <w:rPr>
          <w:b/>
          <w:sz w:val="22"/>
        </w:rPr>
        <w:t xml:space="preserve">• Lavamanos: </w:t>
      </w:r>
      <w:r>
        <w:rPr>
          <w:sz w:val="22"/>
        </w:rPr>
        <w:t>Debe existir lavamanos de uso exclusivo para el consultorio, con agua corriente, jabón líquido y sistema de secado de manos (toallas desechables o secador). El lavamanos debe ser de accionamiento NO manual (codo, rodilla, pie o sensor) para el área de procedimientos.</w:t>
      </w:r>
    </w:p>
    <w:p>
      <w:pPr>
        <w:ind w:left="283"/>
        <w:jc w:val="both"/>
      </w:pPr>
      <w:r>
        <w:rPr>
          <w:b/>
          <w:sz w:val="22"/>
        </w:rPr>
        <w:t xml:space="preserve">• Camilla de examen: </w:t>
      </w:r>
      <w:r>
        <w:rPr>
          <w:sz w:val="22"/>
        </w:rPr>
        <w:t>Camilla o diván de examen con cobertura lavable o con papel desechable, posicionable según necesidad clínica.</w:t>
      </w:r>
    </w:p>
    <w:p>
      <w:pPr>
        <w:ind w:left="283"/>
        <w:jc w:val="both"/>
      </w:pPr>
      <w:r>
        <w:rPr>
          <w:b/>
          <w:sz w:val="22"/>
        </w:rPr>
        <w:t xml:space="preserve">• Privacidad visual y auditiva: </w:t>
      </w:r>
      <w:r>
        <w:rPr>
          <w:sz w:val="22"/>
        </w:rPr>
        <w:t>El consultorio debe garantizar privacidad visual (paredes o biombos) y relativa privacidad auditiva durante la consulta.</w:t>
      </w:r>
    </w:p>
    <w:p>
      <w:pPr>
        <w:ind w:left="283"/>
        <w:jc w:val="both"/>
      </w:pPr>
      <w:r>
        <w:rPr>
          <w:b/>
          <w:sz w:val="22"/>
        </w:rPr>
        <w:t xml:space="preserve">• Iluminación: </w:t>
      </w:r>
      <w:r>
        <w:rPr>
          <w:sz w:val="22"/>
        </w:rPr>
        <w:t>Iluminación natural y/o artificial suficiente para el examen clínico. Mínimo 500 lux en el área de examen físico.</w:t>
      </w:r>
    </w:p>
    <w:p>
      <w:pPr>
        <w:ind w:left="283"/>
        <w:jc w:val="both"/>
      </w:pPr>
      <w:r>
        <w:rPr>
          <w:b/>
          <w:sz w:val="22"/>
        </w:rPr>
        <w:t xml:space="preserve">• Ventilación: </w:t>
      </w:r>
      <w:r>
        <w:rPr>
          <w:sz w:val="22"/>
        </w:rPr>
        <w:t>Ventilación natural o artificial que garantice renovación de aire y confort térmico. Se recomienda ventilación cruzada o sistema de aire acondicionado con filtros adecuados.</w:t>
      </w:r>
    </w:p>
    <w:p>
      <w:pPr>
        <w:ind w:left="283"/>
        <w:jc w:val="both"/>
      </w:pPr>
      <w:r>
        <w:rPr>
          <w:b/>
          <w:sz w:val="22"/>
        </w:rPr>
        <w:t xml:space="preserve">• Señalización: </w:t>
      </w:r>
      <w:r>
        <w:rPr>
          <w:sz w:val="22"/>
        </w:rPr>
        <w:t>El consultorio debe contar con señalización de seguridad, evacuación, riesgo biológico (donde aplique) y accesibilidad según normas colombianas.</w:t>
      </w:r>
    </w:p>
    <w:p>
      <w:pPr>
        <w:ind w:left="283"/>
        <w:jc w:val="both"/>
      </w:pPr>
      <w:r>
        <w:rPr>
          <w:b/>
          <w:sz w:val="22"/>
        </w:rPr>
        <w:t xml:space="preserve">• Baño para pacientes: </w:t>
      </w:r>
      <w:r>
        <w:rPr>
          <w:sz w:val="22"/>
        </w:rPr>
        <w:t>Debe existir baño accesible para pacientes, con lavamanos, inodoro y condiciones de higiene adecuadas. Para atención de personas con discapacidad motora, debe ser accesible según Ley 361/1997.</w:t>
      </w:r>
    </w:p>
    <w:p>
      <w:pPr>
        <w:ind w:left="283"/>
        <w:jc w:val="both"/>
      </w:pPr>
      <w:r>
        <w:rPr>
          <w:b/>
          <w:sz w:val="22"/>
        </w:rPr>
        <w:t xml:space="preserve">• Sala de espera: </w:t>
      </w:r>
      <w:r>
        <w:rPr>
          <w:sz w:val="22"/>
        </w:rPr>
        <w:t>Área de espera cómoda, bien iluminada y ventilada, con sillas suficientes para la demanda de pacientes. Debe incluir señalización y derechos de los pacientes visibles.</w:t>
      </w:r>
    </w:p>
    <w:p>
      <w:pPr>
        <w:ind w:left="283"/>
        <w:jc w:val="both"/>
      </w:pPr>
      <w:r>
        <w:rPr>
          <w:b/>
          <w:sz w:val="22"/>
        </w:rPr>
        <w:t xml:space="preserve">• Almacenamiento de residuos: </w:t>
      </w:r>
      <w:r>
        <w:rPr>
          <w:sz w:val="22"/>
        </w:rPr>
        <w:t>Área o recipientes para la disposición transitoria de residuos ordinarios y biosanitarios, debidamente separados y señalizados según el PGIRH.</w:t>
      </w:r>
    </w:p>
    <w:p>
      <w:pPr>
        <w:pStyle w:val="Heading2"/>
      </w:pPr>
      <w:r>
        <w:rPr>
          <w:b/>
          <w:color w:val="2E74B5"/>
          <w:sz w:val="24"/>
        </w:rPr>
        <w:t>5.2 Verificación de Cumplimiento de la Infraestructura Actual</w:t>
      </w:r>
    </w:p>
    <w:p>
      <w:pPr>
        <w:jc w:val="both"/>
      </w:pPr>
      <w:r>
        <w:rPr>
          <w:rFonts w:ascii="Calibri" w:hAnsi="Calibri"/>
          <w:b w:val="0"/>
          <w:sz w:val="22"/>
        </w:rPr>
        <w:t>Se realiza la siguiente verificación del estado actual de la infraestructura del consultorio:</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F497D" w:color="auto" w:val="clear"/>
          </w:tcPr>
          <w:p>
            <w:pPr>
              <w:jc w:val="center"/>
            </w:pPr>
            <w:r/>
            <w:r>
              <w:rPr>
                <w:b/>
                <w:color w:val="FFFFFF"/>
                <w:sz w:val="20"/>
              </w:rPr>
              <w:t>Requisito</w:t>
            </w:r>
          </w:p>
        </w:tc>
        <w:tc>
          <w:tcPr>
            <w:tcW w:type="dxa" w:w="2280"/>
            <w:shd w:fill="1F497D" w:color="auto" w:val="clear"/>
          </w:tcPr>
          <w:p>
            <w:pPr>
              <w:jc w:val="center"/>
            </w:pPr>
            <w:r/>
            <w:r>
              <w:rPr>
                <w:b/>
                <w:color w:val="FFFFFF"/>
                <w:sz w:val="20"/>
              </w:rPr>
              <w:t>¿Cumple?</w:t>
            </w:r>
          </w:p>
        </w:tc>
        <w:tc>
          <w:tcPr>
            <w:tcW w:type="dxa" w:w="2280"/>
            <w:shd w:fill="1F497D" w:color="auto" w:val="clear"/>
          </w:tcPr>
          <w:p>
            <w:pPr>
              <w:jc w:val="center"/>
            </w:pPr>
            <w:r/>
            <w:r>
              <w:rPr>
                <w:b/>
                <w:color w:val="FFFFFF"/>
                <w:sz w:val="20"/>
              </w:rPr>
              <w:t>Observaciones</w:t>
            </w:r>
          </w:p>
        </w:tc>
        <w:tc>
          <w:tcPr>
            <w:tcW w:type="dxa" w:w="2280"/>
            <w:shd w:fill="1F497D" w:color="auto" w:val="clear"/>
          </w:tcPr>
          <w:p>
            <w:pPr>
              <w:jc w:val="center"/>
            </w:pPr>
            <w:r/>
            <w:r>
              <w:rPr>
                <w:b/>
                <w:color w:val="FFFFFF"/>
                <w:sz w:val="20"/>
              </w:rPr>
              <w:t>Acción requerida</w:t>
            </w:r>
          </w:p>
        </w:tc>
      </w:tr>
      <w:tr>
        <w:tc>
          <w:tcPr>
            <w:tcW w:type="dxa" w:w="2280"/>
          </w:tcPr>
          <w:p>
            <w:r>
              <w:rPr>
                <w:sz w:val="18"/>
              </w:rPr>
              <w:t>Área mínima consultorio ≥12 m²</w:t>
            </w:r>
          </w:p>
        </w:tc>
        <w:tc>
          <w:tcPr>
            <w:tcW w:type="dxa" w:w="2280"/>
          </w:tcPr>
          <w:p>
            <w:r>
              <w:rPr>
                <w:sz w:val="18"/>
              </w:rPr>
              <w:t>□ Sí  □ No  □ Parcial</w:t>
            </w:r>
          </w:p>
        </w:tc>
        <w:tc>
          <w:tcPr>
            <w:tcW w:type="dxa" w:w="2280"/>
          </w:tcPr>
          <w:p/>
        </w:tc>
        <w:tc>
          <w:tcPr>
            <w:tcW w:type="dxa" w:w="2280"/>
          </w:tcPr>
          <w:p/>
        </w:tc>
      </w:tr>
      <w:tr>
        <w:tc>
          <w:tcPr>
            <w:tcW w:type="dxa" w:w="2280"/>
          </w:tcPr>
          <w:p>
            <w:r>
              <w:rPr>
                <w:sz w:val="18"/>
              </w:rPr>
              <w:t>Lavamanos en consultorio</w:t>
            </w:r>
          </w:p>
        </w:tc>
        <w:tc>
          <w:tcPr>
            <w:tcW w:type="dxa" w:w="2280"/>
          </w:tcPr>
          <w:p>
            <w:r>
              <w:rPr>
                <w:sz w:val="18"/>
              </w:rPr>
              <w:t>□ Sí  □ No  □ Parcial</w:t>
            </w:r>
          </w:p>
        </w:tc>
        <w:tc>
          <w:tcPr>
            <w:tcW w:type="dxa" w:w="2280"/>
          </w:tcPr>
          <w:p/>
        </w:tc>
        <w:tc>
          <w:tcPr>
            <w:tcW w:type="dxa" w:w="2280"/>
          </w:tcPr>
          <w:p/>
        </w:tc>
      </w:tr>
      <w:tr>
        <w:tc>
          <w:tcPr>
            <w:tcW w:type="dxa" w:w="2280"/>
          </w:tcPr>
          <w:p>
            <w:r>
              <w:rPr>
                <w:sz w:val="18"/>
              </w:rPr>
              <w:t>Camilla de examen</w:t>
            </w:r>
          </w:p>
        </w:tc>
        <w:tc>
          <w:tcPr>
            <w:tcW w:type="dxa" w:w="2280"/>
          </w:tcPr>
          <w:p>
            <w:r>
              <w:rPr>
                <w:sz w:val="18"/>
              </w:rPr>
              <w:t>□ Sí  □ No  □ Parcial</w:t>
            </w:r>
          </w:p>
        </w:tc>
        <w:tc>
          <w:tcPr>
            <w:tcW w:type="dxa" w:w="2280"/>
          </w:tcPr>
          <w:p/>
        </w:tc>
        <w:tc>
          <w:tcPr>
            <w:tcW w:type="dxa" w:w="2280"/>
          </w:tcPr>
          <w:p/>
        </w:tc>
      </w:tr>
      <w:tr>
        <w:tc>
          <w:tcPr>
            <w:tcW w:type="dxa" w:w="2280"/>
          </w:tcPr>
          <w:p>
            <w:r>
              <w:rPr>
                <w:sz w:val="18"/>
              </w:rPr>
              <w:t>Privacidad visual</w:t>
            </w:r>
          </w:p>
        </w:tc>
        <w:tc>
          <w:tcPr>
            <w:tcW w:type="dxa" w:w="2280"/>
          </w:tcPr>
          <w:p>
            <w:r>
              <w:rPr>
                <w:sz w:val="18"/>
              </w:rPr>
              <w:t>□ Sí  □ No  □ Parcial</w:t>
            </w:r>
          </w:p>
        </w:tc>
        <w:tc>
          <w:tcPr>
            <w:tcW w:type="dxa" w:w="2280"/>
          </w:tcPr>
          <w:p/>
        </w:tc>
        <w:tc>
          <w:tcPr>
            <w:tcW w:type="dxa" w:w="2280"/>
          </w:tcPr>
          <w:p/>
        </w:tc>
      </w:tr>
      <w:tr>
        <w:tc>
          <w:tcPr>
            <w:tcW w:type="dxa" w:w="2280"/>
          </w:tcPr>
          <w:p>
            <w:r>
              <w:rPr>
                <w:sz w:val="18"/>
              </w:rPr>
              <w:t>Iluminación adecuada ≥500 lux</w:t>
            </w:r>
          </w:p>
        </w:tc>
        <w:tc>
          <w:tcPr>
            <w:tcW w:type="dxa" w:w="2280"/>
          </w:tcPr>
          <w:p>
            <w:r>
              <w:rPr>
                <w:sz w:val="18"/>
              </w:rPr>
              <w:t>□ Sí  □ No  □ Parcial</w:t>
            </w:r>
          </w:p>
        </w:tc>
        <w:tc>
          <w:tcPr>
            <w:tcW w:type="dxa" w:w="2280"/>
          </w:tcPr>
          <w:p/>
        </w:tc>
        <w:tc>
          <w:tcPr>
            <w:tcW w:type="dxa" w:w="2280"/>
          </w:tcPr>
          <w:p/>
        </w:tc>
      </w:tr>
      <w:tr>
        <w:tc>
          <w:tcPr>
            <w:tcW w:type="dxa" w:w="2280"/>
          </w:tcPr>
          <w:p>
            <w:r>
              <w:rPr>
                <w:sz w:val="18"/>
              </w:rPr>
              <w:t>Ventilación adecuada</w:t>
            </w:r>
          </w:p>
        </w:tc>
        <w:tc>
          <w:tcPr>
            <w:tcW w:type="dxa" w:w="2280"/>
          </w:tcPr>
          <w:p>
            <w:r>
              <w:rPr>
                <w:sz w:val="18"/>
              </w:rPr>
              <w:t>□ Sí  □ No  □ Parcial</w:t>
            </w:r>
          </w:p>
        </w:tc>
        <w:tc>
          <w:tcPr>
            <w:tcW w:type="dxa" w:w="2280"/>
          </w:tcPr>
          <w:p/>
        </w:tc>
        <w:tc>
          <w:tcPr>
            <w:tcW w:type="dxa" w:w="2280"/>
          </w:tcPr>
          <w:p/>
        </w:tc>
      </w:tr>
      <w:tr>
        <w:tc>
          <w:tcPr>
            <w:tcW w:type="dxa" w:w="2280"/>
          </w:tcPr>
          <w:p>
            <w:r>
              <w:rPr>
                <w:sz w:val="18"/>
              </w:rPr>
              <w:t>Señalización de seguridad</w:t>
            </w:r>
          </w:p>
        </w:tc>
        <w:tc>
          <w:tcPr>
            <w:tcW w:type="dxa" w:w="2280"/>
          </w:tcPr>
          <w:p>
            <w:r>
              <w:rPr>
                <w:sz w:val="18"/>
              </w:rPr>
              <w:t>□ Sí  □ No  □ Parcial</w:t>
            </w:r>
          </w:p>
        </w:tc>
        <w:tc>
          <w:tcPr>
            <w:tcW w:type="dxa" w:w="2280"/>
          </w:tcPr>
          <w:p/>
        </w:tc>
        <w:tc>
          <w:tcPr>
            <w:tcW w:type="dxa" w:w="2280"/>
          </w:tcPr>
          <w:p/>
        </w:tc>
      </w:tr>
      <w:tr>
        <w:tc>
          <w:tcPr>
            <w:tcW w:type="dxa" w:w="2280"/>
          </w:tcPr>
          <w:p>
            <w:r>
              <w:rPr>
                <w:sz w:val="18"/>
              </w:rPr>
              <w:t>Baño para pacientes</w:t>
            </w:r>
          </w:p>
        </w:tc>
        <w:tc>
          <w:tcPr>
            <w:tcW w:type="dxa" w:w="2280"/>
          </w:tcPr>
          <w:p>
            <w:r>
              <w:rPr>
                <w:sz w:val="18"/>
              </w:rPr>
              <w:t>□ Sí  □ No  □ Parcial</w:t>
            </w:r>
          </w:p>
        </w:tc>
        <w:tc>
          <w:tcPr>
            <w:tcW w:type="dxa" w:w="2280"/>
          </w:tcPr>
          <w:p/>
        </w:tc>
        <w:tc>
          <w:tcPr>
            <w:tcW w:type="dxa" w:w="2280"/>
          </w:tcPr>
          <w:p/>
        </w:tc>
      </w:tr>
      <w:tr>
        <w:tc>
          <w:tcPr>
            <w:tcW w:type="dxa" w:w="2280"/>
          </w:tcPr>
          <w:p>
            <w:r>
              <w:rPr>
                <w:sz w:val="18"/>
              </w:rPr>
              <w:t>Sala de espera</w:t>
            </w:r>
          </w:p>
        </w:tc>
        <w:tc>
          <w:tcPr>
            <w:tcW w:type="dxa" w:w="2280"/>
          </w:tcPr>
          <w:p>
            <w:r>
              <w:rPr>
                <w:sz w:val="18"/>
              </w:rPr>
              <w:t>□ Sí  □ No  □ Parcial</w:t>
            </w:r>
          </w:p>
        </w:tc>
        <w:tc>
          <w:tcPr>
            <w:tcW w:type="dxa" w:w="2280"/>
          </w:tcPr>
          <w:p/>
        </w:tc>
        <w:tc>
          <w:tcPr>
            <w:tcW w:type="dxa" w:w="2280"/>
          </w:tcPr>
          <w:p/>
        </w:tc>
      </w:tr>
      <w:tr>
        <w:tc>
          <w:tcPr>
            <w:tcW w:type="dxa" w:w="2280"/>
          </w:tcPr>
          <w:p>
            <w:r>
              <w:rPr>
                <w:sz w:val="18"/>
              </w:rPr>
              <w:t>Almacenamiento de residuos</w:t>
            </w:r>
          </w:p>
        </w:tc>
        <w:tc>
          <w:tcPr>
            <w:tcW w:type="dxa" w:w="2280"/>
          </w:tcPr>
          <w:p>
            <w:r>
              <w:rPr>
                <w:sz w:val="18"/>
              </w:rPr>
              <w:t>□ Sí  □ No  □ Parcial</w:t>
            </w:r>
          </w:p>
        </w:tc>
        <w:tc>
          <w:tcPr>
            <w:tcW w:type="dxa" w:w="2280"/>
          </w:tcPr>
          <w:p/>
        </w:tc>
        <w:tc>
          <w:tcPr>
            <w:tcW w:type="dxa" w:w="2280"/>
          </w:tcPr>
          <w:p/>
        </w:tc>
      </w:tr>
      <w:tr>
        <w:tc>
          <w:tcPr>
            <w:tcW w:type="dxa" w:w="2280"/>
          </w:tcPr>
          <w:p>
            <w:r>
              <w:rPr>
                <w:sz w:val="18"/>
              </w:rPr>
              <w:t>Accesibilidad para discapacitados</w:t>
            </w:r>
          </w:p>
        </w:tc>
        <w:tc>
          <w:tcPr>
            <w:tcW w:type="dxa" w:w="2280"/>
          </w:tcPr>
          <w:p>
            <w:r>
              <w:rPr>
                <w:sz w:val="18"/>
              </w:rPr>
              <w:t>□ Sí  □ No  □ Parcial</w:t>
            </w:r>
          </w:p>
        </w:tc>
        <w:tc>
          <w:tcPr>
            <w:tcW w:type="dxa" w:w="2280"/>
          </w:tcPr>
          <w:p/>
        </w:tc>
        <w:tc>
          <w:tcPr>
            <w:tcW w:type="dxa" w:w="2280"/>
          </w:tcPr>
          <w:p/>
        </w:tc>
      </w:tr>
    </w:tbl>
    <w:p/>
    <w:p>
      <w:pPr>
        <w:pStyle w:val="Heading1"/>
      </w:pPr>
      <w:r>
        <w:rPr>
          <w:b/>
          <w:color w:val="1F497D"/>
          <w:sz w:val="28"/>
        </w:rPr>
        <w:t>6. CONDICIONES ESPECÍFICAS PARA PROCEDIMIENTOS ESTÉTICOS NO INVASIVOS</w:t>
      </w:r>
    </w:p>
    <w:p>
      <w:pPr>
        <w:jc w:val="both"/>
      </w:pPr>
      <w:r>
        <w:rPr>
          <w:rFonts w:ascii="Calibri" w:hAnsi="Calibri"/>
          <w:b w:val="0"/>
          <w:sz w:val="22"/>
        </w:rPr>
        <w:t>Para la realización de procedimientos estéticos no invasivos (toxina botulínica, rellenos dérmicos, peelings, mesoterapia, PRP), el área debe cumplir con condiciones adicionales de asepsia y equipamiento:</w:t>
      </w:r>
    </w:p>
    <w:p>
      <w:pPr>
        <w:pStyle w:val="ListBullet"/>
        <w:jc w:val="both"/>
      </w:pPr>
      <w:r>
        <w:rPr>
          <w:rFonts w:ascii="Calibri" w:hAnsi="Calibri"/>
          <w:sz w:val="22"/>
        </w:rPr>
        <w:t>Iluminación de alta intensidad y ajustable (luz fría preferiblemente, mínimo 1000 lux en el campo de trabajo)</w:t>
      </w:r>
    </w:p>
    <w:p>
      <w:pPr>
        <w:pStyle w:val="ListBullet"/>
        <w:jc w:val="both"/>
      </w:pPr>
      <w:r>
        <w:rPr>
          <w:rFonts w:ascii="Calibri" w:hAnsi="Calibri"/>
          <w:sz w:val="22"/>
        </w:rPr>
        <w:t>Lavamanos de accionamiento no manual o sensor en el área donde se realizan los procedimientos</w:t>
      </w:r>
    </w:p>
    <w:p>
      <w:pPr>
        <w:pStyle w:val="ListBullet"/>
        <w:jc w:val="both"/>
      </w:pPr>
      <w:r>
        <w:rPr>
          <w:rFonts w:ascii="Calibri" w:hAnsi="Calibri"/>
          <w:sz w:val="22"/>
        </w:rPr>
        <w:t>Superficie de trabajo de material liso, no poroso y fácilmente desinfectable (acero inoxidable o similar)</w:t>
      </w:r>
    </w:p>
    <w:p>
      <w:pPr>
        <w:pStyle w:val="ListBullet"/>
        <w:jc w:val="both"/>
      </w:pPr>
      <w:r>
        <w:rPr>
          <w:rFonts w:ascii="Calibri" w:hAnsi="Calibri"/>
          <w:sz w:val="22"/>
        </w:rPr>
        <w:t>Sistema de almacenamiento bajo llave y temperatura controlada para toxina botulínica (2-8°C) y otros biológicos</w:t>
      </w:r>
    </w:p>
    <w:p>
      <w:pPr>
        <w:pStyle w:val="ListBullet"/>
        <w:jc w:val="both"/>
      </w:pPr>
      <w:r>
        <w:rPr>
          <w:rFonts w:ascii="Calibri" w:hAnsi="Calibri"/>
          <w:sz w:val="22"/>
        </w:rPr>
        <w:t>Kit de emergencias disponible y accesible en el área de procedimientos</w:t>
      </w:r>
    </w:p>
    <w:p>
      <w:pPr>
        <w:pStyle w:val="ListBullet"/>
        <w:jc w:val="both"/>
      </w:pPr>
      <w:r>
        <w:rPr>
          <w:rFonts w:ascii="Calibri" w:hAnsi="Calibri"/>
          <w:sz w:val="22"/>
        </w:rPr>
        <w:t>Recipientes para residuos cortopunzantes (guardianes) disponibles y seguros</w:t>
      </w:r>
    </w:p>
    <w:p>
      <w:pPr>
        <w:pStyle w:val="ListBullet"/>
        <w:jc w:val="both"/>
      </w:pPr>
      <w:r>
        <w:rPr>
          <w:rFonts w:ascii="Calibri" w:hAnsi="Calibri"/>
          <w:sz w:val="22"/>
        </w:rPr>
        <w:t>Disponibilidad de oxígeno medicinal y elementos de reanimación básica (ambú, cánulas de Guedel)</w:t>
      </w:r>
    </w:p>
    <w:p>
      <w:pPr>
        <w:pStyle w:val="ListBullet"/>
        <w:jc w:val="both"/>
      </w:pPr>
      <w:r>
        <w:rPr>
          <w:rFonts w:ascii="Calibri" w:hAnsi="Calibri"/>
          <w:sz w:val="22"/>
        </w:rPr>
        <w:t>Cámara para fotografías clínicas o área con fondo neutro y buena iluminación</w:t>
      </w:r>
    </w:p>
    <w:p>
      <w:pPr>
        <w:pStyle w:val="ListBullet"/>
        <w:jc w:val="both"/>
      </w:pPr>
      <w:r>
        <w:rPr>
          <w:rFonts w:ascii="Calibri" w:hAnsi="Calibri"/>
          <w:sz w:val="22"/>
        </w:rPr>
        <w:t>Privacidad total durante los procedimientos estéticos (la paciente/paciente debe sentirse cómodo/a)</w:t>
      </w:r>
    </w:p>
    <w:p>
      <w:pPr>
        <w:pStyle w:val="Heading1"/>
      </w:pPr>
      <w:r>
        <w:rPr>
          <w:b/>
          <w:color w:val="1F497D"/>
          <w:sz w:val="28"/>
        </w:rPr>
        <w:t>7. PROGRAMA DE MANTENIMIENTO DE INFRAESTRUCTURA</w:t>
      </w:r>
    </w:p>
    <w:p>
      <w:pPr>
        <w:pStyle w:val="Heading2"/>
      </w:pPr>
      <w:r>
        <w:rPr>
          <w:b/>
          <w:color w:val="2E74B5"/>
          <w:sz w:val="24"/>
        </w:rPr>
        <w:t>7.1 Mantenimiento Preventivo Programado</w:t>
      </w:r>
    </w:p>
    <w:p>
      <w:pPr>
        <w:jc w:val="both"/>
      </w:pPr>
      <w:r>
        <w:rPr>
          <w:rFonts w:ascii="Calibri" w:hAnsi="Calibri"/>
          <w:b w:val="0"/>
          <w:sz w:val="22"/>
        </w:rPr>
        <w:t>Se establece el siguiente cronograma de mantenimiento preventivo de la infraestructura del consultorio:</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F497D" w:color="auto" w:val="clear"/>
          </w:tcPr>
          <w:p>
            <w:pPr>
              <w:jc w:val="center"/>
            </w:pPr>
            <w:r/>
            <w:r>
              <w:rPr>
                <w:b/>
                <w:color w:val="FFFFFF"/>
                <w:sz w:val="20"/>
              </w:rPr>
              <w:t>Área/Elemento</w:t>
            </w:r>
          </w:p>
        </w:tc>
        <w:tc>
          <w:tcPr>
            <w:tcW w:type="dxa" w:w="2280"/>
            <w:shd w:fill="1F497D" w:color="auto" w:val="clear"/>
          </w:tcPr>
          <w:p>
            <w:pPr>
              <w:jc w:val="center"/>
            </w:pPr>
            <w:r/>
            <w:r>
              <w:rPr>
                <w:b/>
                <w:color w:val="FFFFFF"/>
                <w:sz w:val="20"/>
              </w:rPr>
              <w:t>Actividad de mantenimiento</w:t>
            </w:r>
          </w:p>
        </w:tc>
        <w:tc>
          <w:tcPr>
            <w:tcW w:type="dxa" w:w="2280"/>
            <w:shd w:fill="1F497D" w:color="auto" w:val="clear"/>
          </w:tcPr>
          <w:p>
            <w:pPr>
              <w:jc w:val="center"/>
            </w:pPr>
            <w:r/>
            <w:r>
              <w:rPr>
                <w:b/>
                <w:color w:val="FFFFFF"/>
                <w:sz w:val="20"/>
              </w:rPr>
              <w:t>Frecuencia</w:t>
            </w:r>
          </w:p>
        </w:tc>
        <w:tc>
          <w:tcPr>
            <w:tcW w:type="dxa" w:w="2280"/>
            <w:shd w:fill="1F497D" w:color="auto" w:val="clear"/>
          </w:tcPr>
          <w:p>
            <w:pPr>
              <w:jc w:val="center"/>
            </w:pPr>
            <w:r/>
            <w:r>
              <w:rPr>
                <w:b/>
                <w:color w:val="FFFFFF"/>
                <w:sz w:val="20"/>
              </w:rPr>
              <w:t>Responsable</w:t>
            </w:r>
          </w:p>
        </w:tc>
      </w:tr>
      <w:tr>
        <w:tc>
          <w:tcPr>
            <w:tcW w:type="dxa" w:w="2280"/>
          </w:tcPr>
          <w:p>
            <w:r>
              <w:rPr>
                <w:sz w:val="18"/>
              </w:rPr>
              <w:t>Paredes y cielos rasos</w:t>
            </w:r>
          </w:p>
        </w:tc>
        <w:tc>
          <w:tcPr>
            <w:tcW w:type="dxa" w:w="2280"/>
          </w:tcPr>
          <w:p>
            <w:r>
              <w:rPr>
                <w:sz w:val="18"/>
              </w:rPr>
              <w:t>Inspección de humedad, grietas, pintura. Repintar si necesario</w:t>
            </w:r>
          </w:p>
        </w:tc>
        <w:tc>
          <w:tcPr>
            <w:tcW w:type="dxa" w:w="2280"/>
          </w:tcPr>
          <w:p>
            <w:r>
              <w:rPr>
                <w:sz w:val="18"/>
              </w:rPr>
              <w:t>Semestral</w:t>
            </w:r>
          </w:p>
        </w:tc>
        <w:tc>
          <w:tcPr>
            <w:tcW w:type="dxa" w:w="2280"/>
          </w:tcPr>
          <w:p>
            <w:r>
              <w:rPr>
                <w:sz w:val="18"/>
              </w:rPr>
              <w:t>Contratista externo</w:t>
            </w:r>
          </w:p>
        </w:tc>
      </w:tr>
      <w:tr>
        <w:tc>
          <w:tcPr>
            <w:tcW w:type="dxa" w:w="2280"/>
          </w:tcPr>
          <w:p>
            <w:r>
              <w:rPr>
                <w:sz w:val="18"/>
              </w:rPr>
              <w:t>Pisos</w:t>
            </w:r>
          </w:p>
        </w:tc>
        <w:tc>
          <w:tcPr>
            <w:tcW w:type="dxa" w:w="2280"/>
          </w:tcPr>
          <w:p>
            <w:r>
              <w:rPr>
                <w:sz w:val="18"/>
              </w:rPr>
              <w:t>Verificar estado, sellado de juntas, limpieza profunda</w:t>
            </w:r>
          </w:p>
        </w:tc>
        <w:tc>
          <w:tcPr>
            <w:tcW w:type="dxa" w:w="2280"/>
          </w:tcPr>
          <w:p>
            <w:r>
              <w:rPr>
                <w:sz w:val="18"/>
              </w:rPr>
              <w:t>Trimestral</w:t>
            </w:r>
          </w:p>
        </w:tc>
        <w:tc>
          <w:tcPr>
            <w:tcW w:type="dxa" w:w="2280"/>
          </w:tcPr>
          <w:p>
            <w:r>
              <w:rPr>
                <w:sz w:val="18"/>
              </w:rPr>
              <w:t>Servicios generales</w:t>
            </w:r>
          </w:p>
        </w:tc>
      </w:tr>
      <w:tr>
        <w:tc>
          <w:tcPr>
            <w:tcW w:type="dxa" w:w="2280"/>
          </w:tcPr>
          <w:p>
            <w:r>
              <w:rPr>
                <w:sz w:val="18"/>
              </w:rPr>
              <w:t>Puertas y ventanas</w:t>
            </w:r>
          </w:p>
        </w:tc>
        <w:tc>
          <w:tcPr>
            <w:tcW w:type="dxa" w:w="2280"/>
          </w:tcPr>
          <w:p>
            <w:r>
              <w:rPr>
                <w:sz w:val="18"/>
              </w:rPr>
              <w:t>Revisión de bisagras, cerraduras, empaques, vidrios</w:t>
            </w:r>
          </w:p>
        </w:tc>
        <w:tc>
          <w:tcPr>
            <w:tcW w:type="dxa" w:w="2280"/>
          </w:tcPr>
          <w:p>
            <w:r>
              <w:rPr>
                <w:sz w:val="18"/>
              </w:rPr>
              <w:t>Trimestral</w:t>
            </w:r>
          </w:p>
        </w:tc>
        <w:tc>
          <w:tcPr>
            <w:tcW w:type="dxa" w:w="2280"/>
          </w:tcPr>
          <w:p>
            <w:r>
              <w:rPr>
                <w:sz w:val="18"/>
              </w:rPr>
              <w:t>Contratista externo</w:t>
            </w:r>
          </w:p>
        </w:tc>
      </w:tr>
      <w:tr>
        <w:tc>
          <w:tcPr>
            <w:tcW w:type="dxa" w:w="2280"/>
          </w:tcPr>
          <w:p>
            <w:r>
              <w:rPr>
                <w:sz w:val="18"/>
              </w:rPr>
              <w:t>Red eléctrica</w:t>
            </w:r>
          </w:p>
        </w:tc>
        <w:tc>
          <w:tcPr>
            <w:tcW w:type="dxa" w:w="2280"/>
          </w:tcPr>
          <w:p>
            <w:r>
              <w:rPr>
                <w:sz w:val="18"/>
              </w:rPr>
              <w:t>Verificación de tomacorrientes, interruptores, breakers, tierra física</w:t>
            </w:r>
          </w:p>
        </w:tc>
        <w:tc>
          <w:tcPr>
            <w:tcW w:type="dxa" w:w="2280"/>
          </w:tcPr>
          <w:p>
            <w:r>
              <w:rPr>
                <w:sz w:val="18"/>
              </w:rPr>
              <w:t>Anual</w:t>
            </w:r>
          </w:p>
        </w:tc>
        <w:tc>
          <w:tcPr>
            <w:tcW w:type="dxa" w:w="2280"/>
          </w:tcPr>
          <w:p>
            <w:r>
              <w:rPr>
                <w:sz w:val="18"/>
              </w:rPr>
              <w:t>Electricista certificado</w:t>
            </w:r>
          </w:p>
        </w:tc>
      </w:tr>
      <w:tr>
        <w:tc>
          <w:tcPr>
            <w:tcW w:type="dxa" w:w="2280"/>
          </w:tcPr>
          <w:p>
            <w:r>
              <w:rPr>
                <w:sz w:val="18"/>
              </w:rPr>
              <w:t>Red hidráulica</w:t>
            </w:r>
          </w:p>
        </w:tc>
        <w:tc>
          <w:tcPr>
            <w:tcW w:type="dxa" w:w="2280"/>
          </w:tcPr>
          <w:p>
            <w:r>
              <w:rPr>
                <w:sz w:val="18"/>
              </w:rPr>
              <w:t>Revisión de llaves, sifones, sanitarios, duchas (si aplica)</w:t>
            </w:r>
          </w:p>
        </w:tc>
        <w:tc>
          <w:tcPr>
            <w:tcW w:type="dxa" w:w="2280"/>
          </w:tcPr>
          <w:p>
            <w:r>
              <w:rPr>
                <w:sz w:val="18"/>
              </w:rPr>
              <w:t>Semestral</w:t>
            </w:r>
          </w:p>
        </w:tc>
        <w:tc>
          <w:tcPr>
            <w:tcW w:type="dxa" w:w="2280"/>
          </w:tcPr>
          <w:p>
            <w:r>
              <w:rPr>
                <w:sz w:val="18"/>
              </w:rPr>
              <w:t>Plomero certificado</w:t>
            </w:r>
          </w:p>
        </w:tc>
      </w:tr>
      <w:tr>
        <w:tc>
          <w:tcPr>
            <w:tcW w:type="dxa" w:w="2280"/>
          </w:tcPr>
          <w:p>
            <w:r>
              <w:rPr>
                <w:sz w:val="18"/>
              </w:rPr>
              <w:t>Aire acondicionado/ventilación</w:t>
            </w:r>
          </w:p>
        </w:tc>
        <w:tc>
          <w:tcPr>
            <w:tcW w:type="dxa" w:w="2280"/>
          </w:tcPr>
          <w:p>
            <w:r>
              <w:rPr>
                <w:sz w:val="18"/>
              </w:rPr>
              <w:t>Limpieza de filtros, revisión del compresor, carga de gas</w:t>
            </w:r>
          </w:p>
        </w:tc>
        <w:tc>
          <w:tcPr>
            <w:tcW w:type="dxa" w:w="2280"/>
          </w:tcPr>
          <w:p>
            <w:r>
              <w:rPr>
                <w:sz w:val="18"/>
              </w:rPr>
              <w:t>Semestral</w:t>
            </w:r>
          </w:p>
        </w:tc>
        <w:tc>
          <w:tcPr>
            <w:tcW w:type="dxa" w:w="2280"/>
          </w:tcPr>
          <w:p>
            <w:r>
              <w:rPr>
                <w:sz w:val="18"/>
              </w:rPr>
              <w:t>Técnico certificado</w:t>
            </w:r>
          </w:p>
        </w:tc>
      </w:tr>
      <w:tr>
        <w:tc>
          <w:tcPr>
            <w:tcW w:type="dxa" w:w="2280"/>
          </w:tcPr>
          <w:p>
            <w:r>
              <w:rPr>
                <w:sz w:val="18"/>
              </w:rPr>
              <w:t>Lavamanos</w:t>
            </w:r>
          </w:p>
        </w:tc>
        <w:tc>
          <w:tcPr>
            <w:tcW w:type="dxa" w:w="2280"/>
          </w:tcPr>
          <w:p>
            <w:r>
              <w:rPr>
                <w:sz w:val="18"/>
              </w:rPr>
              <w:t>Verificar sello, grifo, desagüe, dispensador de jabón y papel</w:t>
            </w:r>
          </w:p>
        </w:tc>
        <w:tc>
          <w:tcPr>
            <w:tcW w:type="dxa" w:w="2280"/>
          </w:tcPr>
          <w:p>
            <w:r>
              <w:rPr>
                <w:sz w:val="18"/>
              </w:rPr>
              <w:t>Mensual</w:t>
            </w:r>
          </w:p>
        </w:tc>
        <w:tc>
          <w:tcPr>
            <w:tcW w:type="dxa" w:w="2280"/>
          </w:tcPr>
          <w:p>
            <w:r>
              <w:rPr>
                <w:sz w:val="18"/>
              </w:rPr>
              <w:t>Servicios generales / médica</w:t>
            </w:r>
          </w:p>
        </w:tc>
      </w:tr>
      <w:tr>
        <w:tc>
          <w:tcPr>
            <w:tcW w:type="dxa" w:w="2280"/>
          </w:tcPr>
          <w:p>
            <w:r>
              <w:rPr>
                <w:sz w:val="18"/>
              </w:rPr>
              <w:t>Iluminación</w:t>
            </w:r>
          </w:p>
        </w:tc>
        <w:tc>
          <w:tcPr>
            <w:tcW w:type="dxa" w:w="2280"/>
          </w:tcPr>
          <w:p>
            <w:r>
              <w:rPr>
                <w:sz w:val="18"/>
              </w:rPr>
              <w:t>Cambio de bombillas dañadas, limpieza de luminarias</w:t>
            </w:r>
          </w:p>
        </w:tc>
        <w:tc>
          <w:tcPr>
            <w:tcW w:type="dxa" w:w="2280"/>
          </w:tcPr>
          <w:p>
            <w:r>
              <w:rPr>
                <w:sz w:val="18"/>
              </w:rPr>
              <w:t>Mensual</w:t>
            </w:r>
          </w:p>
        </w:tc>
        <w:tc>
          <w:tcPr>
            <w:tcW w:type="dxa" w:w="2280"/>
          </w:tcPr>
          <w:p>
            <w:r>
              <w:rPr>
                <w:sz w:val="18"/>
              </w:rPr>
              <w:t>Servicios generales</w:t>
            </w:r>
          </w:p>
        </w:tc>
      </w:tr>
      <w:tr>
        <w:tc>
          <w:tcPr>
            <w:tcW w:type="dxa" w:w="2280"/>
          </w:tcPr>
          <w:p>
            <w:r>
              <w:rPr>
                <w:sz w:val="18"/>
              </w:rPr>
              <w:t>Señalización</w:t>
            </w:r>
          </w:p>
        </w:tc>
        <w:tc>
          <w:tcPr>
            <w:tcW w:type="dxa" w:w="2280"/>
          </w:tcPr>
          <w:p>
            <w:r>
              <w:rPr>
                <w:sz w:val="18"/>
              </w:rPr>
              <w:t>Verificar estado y vigencia de señales, reemplazar deterioradas</w:t>
            </w:r>
          </w:p>
        </w:tc>
        <w:tc>
          <w:tcPr>
            <w:tcW w:type="dxa" w:w="2280"/>
          </w:tcPr>
          <w:p>
            <w:r>
              <w:rPr>
                <w:sz w:val="18"/>
              </w:rPr>
              <w:t>Semestral</w:t>
            </w:r>
          </w:p>
        </w:tc>
        <w:tc>
          <w:tcPr>
            <w:tcW w:type="dxa" w:w="2280"/>
          </w:tcPr>
          <w:p>
            <w:r>
              <w:rPr>
                <w:sz w:val="18"/>
              </w:rPr>
              <w:t>Médica propietaria</w:t>
            </w:r>
          </w:p>
        </w:tc>
      </w:tr>
      <w:tr>
        <w:tc>
          <w:tcPr>
            <w:tcW w:type="dxa" w:w="2280"/>
          </w:tcPr>
          <w:p>
            <w:r>
              <w:rPr>
                <w:sz w:val="18"/>
              </w:rPr>
              <w:t>Área de residuos</w:t>
            </w:r>
          </w:p>
        </w:tc>
        <w:tc>
          <w:tcPr>
            <w:tcW w:type="dxa" w:w="2280"/>
          </w:tcPr>
          <w:p>
            <w:r>
              <w:rPr>
                <w:sz w:val="18"/>
              </w:rPr>
              <w:t>Limpieza y desinfección del área de almacenamiento transitorio</w:t>
            </w:r>
          </w:p>
        </w:tc>
        <w:tc>
          <w:tcPr>
            <w:tcW w:type="dxa" w:w="2280"/>
          </w:tcPr>
          <w:p>
            <w:r>
              <w:rPr>
                <w:sz w:val="18"/>
              </w:rPr>
              <w:t>Mensual</w:t>
            </w:r>
          </w:p>
        </w:tc>
        <w:tc>
          <w:tcPr>
            <w:tcW w:type="dxa" w:w="2280"/>
          </w:tcPr>
          <w:p>
            <w:r>
              <w:rPr>
                <w:sz w:val="18"/>
              </w:rPr>
              <w:t>Servicios generales</w:t>
            </w:r>
          </w:p>
        </w:tc>
      </w:tr>
      <w:tr>
        <w:tc>
          <w:tcPr>
            <w:tcW w:type="dxa" w:w="2280"/>
          </w:tcPr>
          <w:p>
            <w:r>
              <w:rPr>
                <w:sz w:val="18"/>
              </w:rPr>
              <w:t>Extintores</w:t>
            </w:r>
          </w:p>
        </w:tc>
        <w:tc>
          <w:tcPr>
            <w:tcW w:type="dxa" w:w="2280"/>
          </w:tcPr>
          <w:p>
            <w:r>
              <w:rPr>
                <w:sz w:val="18"/>
              </w:rPr>
              <w:t>Revisión de carga, vencimiento, accesibilidad</w:t>
            </w:r>
          </w:p>
        </w:tc>
        <w:tc>
          <w:tcPr>
            <w:tcW w:type="dxa" w:w="2280"/>
          </w:tcPr>
          <w:p>
            <w:r>
              <w:rPr>
                <w:sz w:val="18"/>
              </w:rPr>
              <w:t>Anual</w:t>
            </w:r>
          </w:p>
        </w:tc>
        <w:tc>
          <w:tcPr>
            <w:tcW w:type="dxa" w:w="2280"/>
          </w:tcPr>
          <w:p>
            <w:r>
              <w:rPr>
                <w:sz w:val="18"/>
              </w:rPr>
              <w:t>Empresa certificada</w:t>
            </w:r>
          </w:p>
        </w:tc>
      </w:tr>
      <w:tr>
        <w:tc>
          <w:tcPr>
            <w:tcW w:type="dxa" w:w="2280"/>
          </w:tcPr>
          <w:p>
            <w:r>
              <w:rPr>
                <w:sz w:val="18"/>
              </w:rPr>
              <w:t>Camilla de examen</w:t>
            </w:r>
          </w:p>
        </w:tc>
        <w:tc>
          <w:tcPr>
            <w:tcW w:type="dxa" w:w="2280"/>
          </w:tcPr>
          <w:p>
            <w:r>
              <w:rPr>
                <w:sz w:val="18"/>
              </w:rPr>
              <w:t>Verificar estado, limpieza profunda, cambio de recubrimiento si necesario</w:t>
            </w:r>
          </w:p>
        </w:tc>
        <w:tc>
          <w:tcPr>
            <w:tcW w:type="dxa" w:w="2280"/>
          </w:tcPr>
          <w:p>
            <w:r>
              <w:rPr>
                <w:sz w:val="18"/>
              </w:rPr>
              <w:t>Mensual</w:t>
            </w:r>
          </w:p>
        </w:tc>
        <w:tc>
          <w:tcPr>
            <w:tcW w:type="dxa" w:w="2280"/>
          </w:tcPr>
          <w:p>
            <w:r>
              <w:rPr>
                <w:sz w:val="18"/>
              </w:rPr>
              <w:t>Médica / auxiliar</w:t>
            </w:r>
          </w:p>
        </w:tc>
      </w:tr>
    </w:tbl>
    <w:p/>
    <w:p>
      <w:pPr>
        <w:pStyle w:val="Heading1"/>
      </w:pPr>
      <w:r>
        <w:rPr>
          <w:b/>
          <w:color w:val="1F497D"/>
          <w:sz w:val="28"/>
        </w:rPr>
        <w:t>8. GESTIÓN DE RESIDUOS</w:t>
      </w:r>
    </w:p>
    <w:p>
      <w:pPr>
        <w:jc w:val="both"/>
      </w:pPr>
      <w:r>
        <w:rPr>
          <w:rFonts w:ascii="Calibri" w:hAnsi="Calibri"/>
          <w:b w:val="0"/>
          <w:sz w:val="22"/>
        </w:rPr>
        <w:t>En cumplimiento del Decreto 351 de 2014 y la Resolución 1164 de 2002 (Manual PGIRH), el consultorio implementa el siguiente sistema de gestión de residuos:</w:t>
      </w:r>
    </w:p>
    <w:p>
      <w:pPr>
        <w:pStyle w:val="Heading2"/>
      </w:pPr>
      <w:r>
        <w:rPr>
          <w:b/>
          <w:color w:val="2E74B5"/>
          <w:sz w:val="24"/>
        </w:rPr>
        <w:t>8.1 Clasificación de Residuos</w:t>
      </w:r>
    </w:p>
    <w:tbl>
      <w:tblPr>
        <w:tblStyle w:val="TableGrid"/>
        <w:tblW w:type="auto" w:w="0"/>
        <w:tblLook w:firstColumn="1" w:firstRow="1" w:lastColumn="0" w:lastRow="0" w:noHBand="0" w:noVBand="1" w:val="04A0"/>
      </w:tblPr>
      <w:tblGrid>
        <w:gridCol w:w="3041"/>
        <w:gridCol w:w="3041"/>
        <w:gridCol w:w="3041"/>
      </w:tblGrid>
      <w:tr>
        <w:tc>
          <w:tcPr>
            <w:tcW w:type="dxa" w:w="3041"/>
            <w:shd w:fill="1F497D" w:color="auto" w:val="clear"/>
          </w:tcPr>
          <w:p>
            <w:pPr>
              <w:jc w:val="center"/>
            </w:pPr>
            <w:r/>
            <w:r>
              <w:rPr>
                <w:b/>
                <w:color w:val="FFFFFF"/>
                <w:sz w:val="20"/>
              </w:rPr>
              <w:t>Tipo de residuo</w:t>
            </w:r>
          </w:p>
        </w:tc>
        <w:tc>
          <w:tcPr>
            <w:tcW w:type="dxa" w:w="3041"/>
            <w:shd w:fill="1F497D" w:color="auto" w:val="clear"/>
          </w:tcPr>
          <w:p>
            <w:pPr>
              <w:jc w:val="center"/>
            </w:pPr>
            <w:r/>
            <w:r>
              <w:rPr>
                <w:b/>
                <w:color w:val="FFFFFF"/>
                <w:sz w:val="20"/>
              </w:rPr>
              <w:t>Identificación</w:t>
            </w:r>
          </w:p>
        </w:tc>
        <w:tc>
          <w:tcPr>
            <w:tcW w:type="dxa" w:w="3041"/>
            <w:shd w:fill="1F497D" w:color="auto" w:val="clear"/>
          </w:tcPr>
          <w:p>
            <w:pPr>
              <w:jc w:val="center"/>
            </w:pPr>
            <w:r/>
            <w:r>
              <w:rPr>
                <w:b/>
                <w:color w:val="FFFFFF"/>
                <w:sz w:val="20"/>
              </w:rPr>
              <w:t>Ejemplos en el consultorio</w:t>
            </w:r>
          </w:p>
        </w:tc>
      </w:tr>
      <w:tr>
        <w:tc>
          <w:tcPr>
            <w:tcW w:type="dxa" w:w="3041"/>
          </w:tcPr>
          <w:p>
            <w:r>
              <w:rPr>
                <w:sz w:val="18"/>
              </w:rPr>
              <w:t>Residuos no peligrosos ordinarios</w:t>
            </w:r>
          </w:p>
        </w:tc>
        <w:tc>
          <w:tcPr>
            <w:tcW w:type="dxa" w:w="3041"/>
          </w:tcPr>
          <w:p>
            <w:r>
              <w:rPr>
                <w:sz w:val="18"/>
              </w:rPr>
              <w:t>Bolsa NEGRA</w:t>
            </w:r>
          </w:p>
        </w:tc>
        <w:tc>
          <w:tcPr>
            <w:tcW w:type="dxa" w:w="3041"/>
          </w:tcPr>
          <w:p>
            <w:r>
              <w:rPr>
                <w:sz w:val="18"/>
              </w:rPr>
              <w:t>Papeles administrativos, envases plásticos limpios, residuos de alimentos</w:t>
            </w:r>
          </w:p>
        </w:tc>
      </w:tr>
      <w:tr>
        <w:tc>
          <w:tcPr>
            <w:tcW w:type="dxa" w:w="3041"/>
          </w:tcPr>
          <w:p>
            <w:r>
              <w:rPr>
                <w:sz w:val="18"/>
              </w:rPr>
              <w:t>Residuos biosanitarios (con riesgo biológico)</w:t>
            </w:r>
          </w:p>
        </w:tc>
        <w:tc>
          <w:tcPr>
            <w:tcW w:type="dxa" w:w="3041"/>
          </w:tcPr>
          <w:p>
            <w:r>
              <w:rPr>
                <w:sz w:val="18"/>
              </w:rPr>
              <w:t>Bolsa ROJA</w:t>
            </w:r>
          </w:p>
        </w:tc>
        <w:tc>
          <w:tcPr>
            <w:tcW w:type="dxa" w:w="3041"/>
          </w:tcPr>
          <w:p>
            <w:r>
              <w:rPr>
                <w:sz w:val="18"/>
              </w:rPr>
              <w:t>Gasas, apósitos, guantes, material con sangre o fluidos corporales</w:t>
            </w:r>
          </w:p>
        </w:tc>
      </w:tr>
      <w:tr>
        <w:tc>
          <w:tcPr>
            <w:tcW w:type="dxa" w:w="3041"/>
          </w:tcPr>
          <w:p>
            <w:r>
              <w:rPr>
                <w:sz w:val="18"/>
              </w:rPr>
              <w:t>Residuos anatomopatológicos</w:t>
            </w:r>
          </w:p>
        </w:tc>
        <w:tc>
          <w:tcPr>
            <w:tcW w:type="dxa" w:w="3041"/>
          </w:tcPr>
          <w:p>
            <w:r>
              <w:rPr>
                <w:sz w:val="18"/>
              </w:rPr>
              <w:t>Bolsa ROJA (especial)</w:t>
            </w:r>
          </w:p>
        </w:tc>
        <w:tc>
          <w:tcPr>
            <w:tcW w:type="dxa" w:w="3041"/>
          </w:tcPr>
          <w:p>
            <w:r>
              <w:rPr>
                <w:sz w:val="18"/>
              </w:rPr>
              <w:t>Tejidos, líquidos corporales (si aplica en PRP: sangre residual)</w:t>
            </w:r>
          </w:p>
        </w:tc>
      </w:tr>
      <w:tr>
        <w:tc>
          <w:tcPr>
            <w:tcW w:type="dxa" w:w="3041"/>
          </w:tcPr>
          <w:p>
            <w:r>
              <w:rPr>
                <w:sz w:val="18"/>
              </w:rPr>
              <w:t>Residuos cortopunzantes</w:t>
            </w:r>
          </w:p>
        </w:tc>
        <w:tc>
          <w:tcPr>
            <w:tcW w:type="dxa" w:w="3041"/>
          </w:tcPr>
          <w:p>
            <w:r>
              <w:rPr>
                <w:sz w:val="18"/>
              </w:rPr>
              <w:t>Guardián ROJO (contenedor rígido)</w:t>
            </w:r>
          </w:p>
        </w:tc>
        <w:tc>
          <w:tcPr>
            <w:tcW w:type="dxa" w:w="3041"/>
          </w:tcPr>
          <w:p>
            <w:r>
              <w:rPr>
                <w:sz w:val="18"/>
              </w:rPr>
              <w:t>Agujas, bisturís, lancetas, ampollas rotas</w:t>
            </w:r>
          </w:p>
        </w:tc>
      </w:tr>
      <w:tr>
        <w:tc>
          <w:tcPr>
            <w:tcW w:type="dxa" w:w="3041"/>
          </w:tcPr>
          <w:p>
            <w:r>
              <w:rPr>
                <w:sz w:val="18"/>
              </w:rPr>
              <w:t>Residuos de medicamentos</w:t>
            </w:r>
          </w:p>
        </w:tc>
        <w:tc>
          <w:tcPr>
            <w:tcW w:type="dxa" w:w="3041"/>
          </w:tcPr>
          <w:p>
            <w:r>
              <w:rPr>
                <w:sz w:val="18"/>
              </w:rPr>
              <w:t>Bolsa ROJA o contenedor específico</w:t>
            </w:r>
          </w:p>
        </w:tc>
        <w:tc>
          <w:tcPr>
            <w:tcW w:type="dxa" w:w="3041"/>
          </w:tcPr>
          <w:p>
            <w:r>
              <w:rPr>
                <w:sz w:val="18"/>
              </w:rPr>
              <w:t>Frascos con residuos de medicamentos, toxina botulínica vencida</w:t>
            </w:r>
          </w:p>
        </w:tc>
      </w:tr>
      <w:tr>
        <w:tc>
          <w:tcPr>
            <w:tcW w:type="dxa" w:w="3041"/>
          </w:tcPr>
          <w:p>
            <w:r>
              <w:rPr>
                <w:sz w:val="18"/>
              </w:rPr>
              <w:t>Residuos de aparatos eléctricos y electrónicos (RAEE)</w:t>
            </w:r>
          </w:p>
        </w:tc>
        <w:tc>
          <w:tcPr>
            <w:tcW w:type="dxa" w:w="3041"/>
          </w:tcPr>
          <w:p>
            <w:r>
              <w:rPr>
                <w:sz w:val="18"/>
              </w:rPr>
              <w:t>Recolección especial</w:t>
            </w:r>
          </w:p>
        </w:tc>
        <w:tc>
          <w:tcPr>
            <w:tcW w:type="dxa" w:w="3041"/>
          </w:tcPr>
          <w:p>
            <w:r>
              <w:rPr>
                <w:sz w:val="18"/>
              </w:rPr>
              <w:t>Equipos médicos en desuso, pilas, cables</w:t>
            </w:r>
          </w:p>
        </w:tc>
      </w:tr>
    </w:tbl>
    <w:p/>
    <w:p>
      <w:pPr>
        <w:pStyle w:val="Heading2"/>
      </w:pPr>
      <w:r>
        <w:rPr>
          <w:b/>
          <w:color w:val="2E74B5"/>
          <w:sz w:val="24"/>
        </w:rPr>
        <w:t>8.2 Ruta Sanitaria de Residuos</w:t>
      </w:r>
    </w:p>
    <w:p>
      <w:pPr>
        <w:jc w:val="both"/>
      </w:pPr>
      <w:r>
        <w:rPr>
          <w:rFonts w:ascii="Calibri" w:hAnsi="Calibri"/>
          <w:b w:val="0"/>
          <w:sz w:val="22"/>
        </w:rPr>
        <w:t>Los residuos biosanitarios y cortopunzantes deben ser recogidos por una empresa gestora de residuos peligrosos con licencia ambiental vigente. El contrato con la empresa gestora debe estar disponible en la carpeta de habilitación del consultorio.</w:t>
      </w:r>
    </w:p>
    <w:p>
      <w:pPr>
        <w:jc w:val="both"/>
      </w:pPr>
      <w:r>
        <w:rPr>
          <w:rFonts w:ascii="Calibri" w:hAnsi="Calibri"/>
          <w:b w:val="0"/>
          <w:sz w:val="22"/>
        </w:rPr>
        <w:t>Empresa gestora contratada: [NOMBRE DE LA EMPRESA GESTORA DE RESIDUOS]</w:t>
        <w:br/>
        <w:t>Número de contrato: [NÚMERO DE CONTRATO]</w:t>
        <w:br/>
        <w:t>Frecuencia de recolección: [FRECUENCIA]</w:t>
        <w:br/>
        <w:t>Licencia ambiental: [NÚMERO DE LICENCIA]</w:t>
      </w:r>
    </w:p>
    <w:p>
      <w:pPr>
        <w:pStyle w:val="Heading1"/>
      </w:pPr>
      <w:r>
        <w:rPr>
          <w:b/>
          <w:color w:val="1F497D"/>
          <w:sz w:val="28"/>
        </w:rPr>
        <w:t>9. CONTROL DE PLAGAS Y ROEDORES</w:t>
      </w:r>
    </w:p>
    <w:p>
      <w:pPr>
        <w:jc w:val="both"/>
      </w:pPr>
      <w:r>
        <w:rPr>
          <w:rFonts w:ascii="Calibri" w:hAnsi="Calibri"/>
          <w:b w:val="0"/>
          <w:sz w:val="22"/>
        </w:rPr>
        <w:t>El consultorio debe contar con un programa de control de vectores y plagas certificado por una empresa autorizada por las autoridades ambientales. Los registros deben ser archivados y estar disponibles para inspección sanitaria.</w:t>
      </w:r>
    </w:p>
    <w:p>
      <w:pPr>
        <w:pStyle w:val="ListBullet"/>
        <w:jc w:val="both"/>
      </w:pPr>
      <w:r>
        <w:rPr>
          <w:rFonts w:ascii="Calibri" w:hAnsi="Calibri"/>
          <w:sz w:val="22"/>
        </w:rPr>
        <w:t>Contrato vigente con empresa certificada para control de plagas: [NOMBRE EMPRESA] - Contrato N° [N°]</w:t>
      </w:r>
    </w:p>
    <w:p>
      <w:pPr>
        <w:pStyle w:val="ListBullet"/>
        <w:jc w:val="both"/>
      </w:pPr>
      <w:r>
        <w:rPr>
          <w:rFonts w:ascii="Calibri" w:hAnsi="Calibri"/>
          <w:sz w:val="22"/>
        </w:rPr>
        <w:t>Fumigación y control preventivo con una frecuencia mínima de cada 6 meses</w:t>
      </w:r>
    </w:p>
    <w:p>
      <w:pPr>
        <w:pStyle w:val="ListBullet"/>
        <w:jc w:val="both"/>
      </w:pPr>
      <w:r>
        <w:rPr>
          <w:rFonts w:ascii="Calibri" w:hAnsi="Calibri"/>
          <w:sz w:val="22"/>
        </w:rPr>
        <w:t>Inspección visual mensual por parte del personal del consultorio</w:t>
      </w:r>
    </w:p>
    <w:p>
      <w:pPr>
        <w:pStyle w:val="ListBullet"/>
        <w:jc w:val="both"/>
      </w:pPr>
      <w:r>
        <w:rPr>
          <w:rFonts w:ascii="Calibri" w:hAnsi="Calibri"/>
          <w:sz w:val="22"/>
        </w:rPr>
        <w:t>Sellado de grietas, fisuras y posibles vías de ingreso de roedores e insectos</w:t>
      </w:r>
    </w:p>
    <w:p>
      <w:pPr>
        <w:pStyle w:val="ListBullet"/>
        <w:jc w:val="both"/>
      </w:pPr>
      <w:r>
        <w:rPr>
          <w:rFonts w:ascii="Calibri" w:hAnsi="Calibri"/>
          <w:sz w:val="22"/>
        </w:rPr>
        <w:t>Mantenimiento adecuado de desagües y sifones</w:t>
      </w:r>
    </w:p>
    <w:p>
      <w:pPr>
        <w:pStyle w:val="ListBullet"/>
        <w:jc w:val="both"/>
      </w:pPr>
      <w:r>
        <w:rPr>
          <w:rFonts w:ascii="Calibri" w:hAnsi="Calibri"/>
          <w:sz w:val="22"/>
        </w:rPr>
        <w:t>Almacenamiento correcto de alimentos (si los hay en el consultorio)</w:t>
      </w:r>
    </w:p>
    <w:p>
      <w:pPr>
        <w:pStyle w:val="ListBullet"/>
        <w:jc w:val="both"/>
      </w:pPr>
      <w:r>
        <w:rPr>
          <w:rFonts w:ascii="Calibri" w:hAnsi="Calibri"/>
          <w:sz w:val="22"/>
        </w:rPr>
        <w:t>Registro de cada intervención de control de plagas en el formato de inspección de infraestructura (FOR-INF-001)</w:t>
      </w:r>
    </w:p>
    <w:p>
      <w:pPr>
        <w:pStyle w:val="Heading1"/>
      </w:pPr>
      <w:r>
        <w:rPr>
          <w:b/>
          <w:color w:val="1F497D"/>
          <w:sz w:val="28"/>
        </w:rPr>
        <w:t>10. SEÑALIZACIÓN DEL CONSULTORIO</w:t>
      </w:r>
    </w:p>
    <w:p>
      <w:pPr>
        <w:jc w:val="both"/>
      </w:pPr>
      <w:r>
        <w:rPr>
          <w:rFonts w:ascii="Calibri" w:hAnsi="Calibri"/>
          <w:b w:val="0"/>
          <w:sz w:val="22"/>
        </w:rPr>
        <w:t>El consultorio debe contar con señalización clara, visible y conforme a las normas colombianas (NTC 1700, NTC 4166):</w:t>
      </w:r>
    </w:p>
    <w:tbl>
      <w:tblPr>
        <w:tblStyle w:val="TableGrid"/>
        <w:tblW w:type="auto" w:w="0"/>
        <w:tblLook w:firstColumn="1" w:firstRow="1" w:lastColumn="0" w:lastRow="0" w:noHBand="0" w:noVBand="1" w:val="04A0"/>
      </w:tblPr>
      <w:tblGrid>
        <w:gridCol w:w="3041"/>
        <w:gridCol w:w="3041"/>
        <w:gridCol w:w="3041"/>
      </w:tblGrid>
      <w:tr>
        <w:tc>
          <w:tcPr>
            <w:tcW w:type="dxa" w:w="3041"/>
            <w:shd w:fill="1F497D" w:color="auto" w:val="clear"/>
          </w:tcPr>
          <w:p>
            <w:pPr>
              <w:jc w:val="center"/>
            </w:pPr>
            <w:r/>
            <w:r>
              <w:rPr>
                <w:b/>
                <w:color w:val="FFFFFF"/>
                <w:sz w:val="20"/>
              </w:rPr>
              <w:t>Tipo de señal</w:t>
            </w:r>
          </w:p>
        </w:tc>
        <w:tc>
          <w:tcPr>
            <w:tcW w:type="dxa" w:w="3041"/>
            <w:shd w:fill="1F497D" w:color="auto" w:val="clear"/>
          </w:tcPr>
          <w:p>
            <w:pPr>
              <w:jc w:val="center"/>
            </w:pPr>
            <w:r/>
            <w:r>
              <w:rPr>
                <w:b/>
                <w:color w:val="FFFFFF"/>
                <w:sz w:val="20"/>
              </w:rPr>
              <w:t>Características</w:t>
            </w:r>
          </w:p>
        </w:tc>
        <w:tc>
          <w:tcPr>
            <w:tcW w:type="dxa" w:w="3041"/>
            <w:shd w:fill="1F497D" w:color="auto" w:val="clear"/>
          </w:tcPr>
          <w:p>
            <w:pPr>
              <w:jc w:val="center"/>
            </w:pPr>
            <w:r/>
            <w:r>
              <w:rPr>
                <w:b/>
                <w:color w:val="FFFFFF"/>
                <w:sz w:val="20"/>
              </w:rPr>
              <w:t>Dónde se ubica</w:t>
            </w:r>
          </w:p>
        </w:tc>
      </w:tr>
      <w:tr>
        <w:tc>
          <w:tcPr>
            <w:tcW w:type="dxa" w:w="3041"/>
          </w:tcPr>
          <w:p>
            <w:r>
              <w:rPr>
                <w:sz w:val="18"/>
              </w:rPr>
              <w:t>Señales de evacuación y emergencia</w:t>
            </w:r>
          </w:p>
        </w:tc>
        <w:tc>
          <w:tcPr>
            <w:tcW w:type="dxa" w:w="3041"/>
          </w:tcPr>
          <w:p>
            <w:r>
              <w:rPr>
                <w:sz w:val="18"/>
              </w:rPr>
              <w:t>Verde con blanco</w:t>
            </w:r>
          </w:p>
        </w:tc>
        <w:tc>
          <w:tcPr>
            <w:tcW w:type="dxa" w:w="3041"/>
          </w:tcPr>
          <w:p>
            <w:r>
              <w:rPr>
                <w:sz w:val="18"/>
              </w:rPr>
              <w:t>Salidas, rutas de evacuación, punto de encuentro</w:t>
            </w:r>
          </w:p>
        </w:tc>
      </w:tr>
      <w:tr>
        <w:tc>
          <w:tcPr>
            <w:tcW w:type="dxa" w:w="3041"/>
          </w:tcPr>
          <w:p>
            <w:r>
              <w:rPr>
                <w:sz w:val="18"/>
              </w:rPr>
              <w:t>Señales de prohibición</w:t>
            </w:r>
          </w:p>
        </w:tc>
        <w:tc>
          <w:tcPr>
            <w:tcW w:type="dxa" w:w="3041"/>
          </w:tcPr>
          <w:p>
            <w:r>
              <w:rPr>
                <w:sz w:val="18"/>
              </w:rPr>
              <w:t>Rojo con blanco</w:t>
            </w:r>
          </w:p>
        </w:tc>
        <w:tc>
          <w:tcPr>
            <w:tcW w:type="dxa" w:w="3041"/>
          </w:tcPr>
          <w:p>
            <w:r>
              <w:rPr>
                <w:sz w:val="18"/>
              </w:rPr>
              <w:t>No fumar, no ingerir alimentos en áreas clínicas</w:t>
            </w:r>
          </w:p>
        </w:tc>
      </w:tr>
      <w:tr>
        <w:tc>
          <w:tcPr>
            <w:tcW w:type="dxa" w:w="3041"/>
          </w:tcPr>
          <w:p>
            <w:r>
              <w:rPr>
                <w:sz w:val="18"/>
              </w:rPr>
              <w:t>Señales de advertencia / precaución</w:t>
            </w:r>
          </w:p>
        </w:tc>
        <w:tc>
          <w:tcPr>
            <w:tcW w:type="dxa" w:w="3041"/>
          </w:tcPr>
          <w:p>
            <w:r>
              <w:rPr>
                <w:sz w:val="18"/>
              </w:rPr>
              <w:t>Amarillo</w:t>
            </w:r>
          </w:p>
        </w:tc>
        <w:tc>
          <w:tcPr>
            <w:tcW w:type="dxa" w:w="3041"/>
          </w:tcPr>
          <w:p>
            <w:r>
              <w:rPr>
                <w:sz w:val="18"/>
              </w:rPr>
              <w:t>Riesgo biológico, piso mojado, alto voltaje</w:t>
            </w:r>
          </w:p>
        </w:tc>
      </w:tr>
      <w:tr>
        <w:tc>
          <w:tcPr>
            <w:tcW w:type="dxa" w:w="3041"/>
          </w:tcPr>
          <w:p>
            <w:r>
              <w:rPr>
                <w:sz w:val="18"/>
              </w:rPr>
              <w:t>Señales de información</w:t>
            </w:r>
          </w:p>
        </w:tc>
        <w:tc>
          <w:tcPr>
            <w:tcW w:type="dxa" w:w="3041"/>
          </w:tcPr>
          <w:p>
            <w:r>
              <w:rPr>
                <w:sz w:val="18"/>
              </w:rPr>
              <w:t>Azul con blanco</w:t>
            </w:r>
          </w:p>
        </w:tc>
        <w:tc>
          <w:tcPr>
            <w:tcW w:type="dxa" w:w="3041"/>
          </w:tcPr>
          <w:p>
            <w:r>
              <w:rPr>
                <w:sz w:val="18"/>
              </w:rPr>
              <w:t>Consultorio médico, baño, sala de espera, recepción</w:t>
            </w:r>
          </w:p>
        </w:tc>
      </w:tr>
      <w:tr>
        <w:tc>
          <w:tcPr>
            <w:tcW w:type="dxa" w:w="3041"/>
          </w:tcPr>
          <w:p>
            <w:r>
              <w:rPr>
                <w:sz w:val="18"/>
              </w:rPr>
              <w:t>Señales de obligación</w:t>
            </w:r>
          </w:p>
        </w:tc>
        <w:tc>
          <w:tcPr>
            <w:tcW w:type="dxa" w:w="3041"/>
          </w:tcPr>
          <w:p>
            <w:r>
              <w:rPr>
                <w:sz w:val="18"/>
              </w:rPr>
              <w:t>Azul</w:t>
            </w:r>
          </w:p>
        </w:tc>
        <w:tc>
          <w:tcPr>
            <w:tcW w:type="dxa" w:w="3041"/>
          </w:tcPr>
          <w:p>
            <w:r>
              <w:rPr>
                <w:sz w:val="18"/>
              </w:rPr>
              <w:t>Uso de EPP obligatorio en áreas específicas</w:t>
            </w:r>
          </w:p>
        </w:tc>
      </w:tr>
      <w:tr>
        <w:tc>
          <w:tcPr>
            <w:tcW w:type="dxa" w:w="3041"/>
          </w:tcPr>
          <w:p>
            <w:r>
              <w:rPr>
                <w:sz w:val="18"/>
              </w:rPr>
              <w:t>Derechos de los pacientes</w:t>
            </w:r>
          </w:p>
        </w:tc>
        <w:tc>
          <w:tcPr>
            <w:tcW w:type="dxa" w:w="3041"/>
          </w:tcPr>
          <w:p>
            <w:r>
              <w:rPr>
                <w:sz w:val="18"/>
              </w:rPr>
              <w:t>Visible en sala de espera</w:t>
            </w:r>
          </w:p>
        </w:tc>
        <w:tc>
          <w:tcPr>
            <w:tcW w:type="dxa" w:w="3041"/>
          </w:tcPr>
          <w:p>
            <w:r>
              <w:rPr>
                <w:sz w:val="18"/>
              </w:rPr>
              <w:t>Resolución 13437/1991</w:t>
            </w:r>
          </w:p>
        </w:tc>
      </w:tr>
    </w:tbl>
    <w:p/>
    <w:p>
      <w:pPr>
        <w:pStyle w:val="Heading1"/>
      </w:pPr>
      <w:r>
        <w:rPr>
          <w:b/>
          <w:color w:val="1F497D"/>
          <w:sz w:val="28"/>
        </w:rPr>
        <w:t>11. INDICADORES DE INFRAESTRUCTURA</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F497D" w:color="auto" w:val="clear"/>
          </w:tcPr>
          <w:p>
            <w:pPr>
              <w:jc w:val="center"/>
            </w:pPr>
            <w:r/>
            <w:r>
              <w:rPr>
                <w:b/>
                <w:color w:val="FFFFFF"/>
                <w:sz w:val="20"/>
              </w:rPr>
              <w:t>Indicador</w:t>
            </w:r>
          </w:p>
        </w:tc>
        <w:tc>
          <w:tcPr>
            <w:tcW w:type="dxa" w:w="2280"/>
            <w:shd w:fill="1F497D" w:color="auto" w:val="clear"/>
          </w:tcPr>
          <w:p>
            <w:pPr>
              <w:jc w:val="center"/>
            </w:pPr>
            <w:r/>
            <w:r>
              <w:rPr>
                <w:b/>
                <w:color w:val="FFFFFF"/>
                <w:sz w:val="20"/>
              </w:rPr>
              <w:t>Fórmula</w:t>
            </w:r>
          </w:p>
        </w:tc>
        <w:tc>
          <w:tcPr>
            <w:tcW w:type="dxa" w:w="2280"/>
            <w:shd w:fill="1F497D" w:color="auto" w:val="clear"/>
          </w:tcPr>
          <w:p>
            <w:pPr>
              <w:jc w:val="center"/>
            </w:pPr>
            <w:r/>
            <w:r>
              <w:rPr>
                <w:b/>
                <w:color w:val="FFFFFF"/>
                <w:sz w:val="20"/>
              </w:rPr>
              <w:t>Meta</w:t>
            </w:r>
          </w:p>
        </w:tc>
        <w:tc>
          <w:tcPr>
            <w:tcW w:type="dxa" w:w="2280"/>
            <w:shd w:fill="1F497D" w:color="auto" w:val="clear"/>
          </w:tcPr>
          <w:p>
            <w:pPr>
              <w:jc w:val="center"/>
            </w:pPr>
            <w:r/>
            <w:r>
              <w:rPr>
                <w:b/>
                <w:color w:val="FFFFFF"/>
                <w:sz w:val="20"/>
              </w:rPr>
              <w:t>Frecuencia</w:t>
            </w:r>
          </w:p>
        </w:tc>
      </w:tr>
      <w:tr>
        <w:tc>
          <w:tcPr>
            <w:tcW w:type="dxa" w:w="2280"/>
          </w:tcPr>
          <w:p>
            <w:r>
              <w:rPr>
                <w:sz w:val="18"/>
              </w:rPr>
              <w:t>% cumplimiento estándares infraestructura</w:t>
            </w:r>
          </w:p>
        </w:tc>
        <w:tc>
          <w:tcPr>
            <w:tcW w:type="dxa" w:w="2280"/>
          </w:tcPr>
          <w:p>
            <w:r>
              <w:rPr>
                <w:sz w:val="18"/>
              </w:rPr>
              <w:t>(Requisitos cumplidos/Requisitos totales)×100</w:t>
            </w:r>
          </w:p>
        </w:tc>
        <w:tc>
          <w:tcPr>
            <w:tcW w:type="dxa" w:w="2280"/>
          </w:tcPr>
          <w:p>
            <w:r>
              <w:rPr>
                <w:sz w:val="18"/>
              </w:rPr>
              <w:t>100%</w:t>
            </w:r>
          </w:p>
        </w:tc>
        <w:tc>
          <w:tcPr>
            <w:tcW w:type="dxa" w:w="2280"/>
          </w:tcPr>
          <w:p>
            <w:r>
              <w:rPr>
                <w:sz w:val="18"/>
              </w:rPr>
              <w:t>Semestral</w:t>
            </w:r>
          </w:p>
        </w:tc>
      </w:tr>
      <w:tr>
        <w:tc>
          <w:tcPr>
            <w:tcW w:type="dxa" w:w="2280"/>
          </w:tcPr>
          <w:p>
            <w:r>
              <w:rPr>
                <w:sz w:val="18"/>
              </w:rPr>
              <w:t>N° mantenimientos preventivos realizados vs programados</w:t>
            </w:r>
          </w:p>
        </w:tc>
        <w:tc>
          <w:tcPr>
            <w:tcW w:type="dxa" w:w="2280"/>
          </w:tcPr>
          <w:p>
            <w:r>
              <w:rPr>
                <w:sz w:val="18"/>
              </w:rPr>
              <w:t>Realizados/Programados×100</w:t>
            </w:r>
          </w:p>
        </w:tc>
        <w:tc>
          <w:tcPr>
            <w:tcW w:type="dxa" w:w="2280"/>
          </w:tcPr>
          <w:p>
            <w:r>
              <w:rPr>
                <w:sz w:val="18"/>
              </w:rPr>
              <w:t>≥90%</w:t>
            </w:r>
          </w:p>
        </w:tc>
        <w:tc>
          <w:tcPr>
            <w:tcW w:type="dxa" w:w="2280"/>
          </w:tcPr>
          <w:p>
            <w:r>
              <w:rPr>
                <w:sz w:val="18"/>
              </w:rPr>
              <w:t>Anual</w:t>
            </w:r>
          </w:p>
        </w:tc>
      </w:tr>
      <w:tr>
        <w:tc>
          <w:tcPr>
            <w:tcW w:type="dxa" w:w="2280"/>
          </w:tcPr>
          <w:p>
            <w:r>
              <w:rPr>
                <w:sz w:val="18"/>
              </w:rPr>
              <w:t>% contratos de servicios de apoyo vigentes</w:t>
            </w:r>
          </w:p>
        </w:tc>
        <w:tc>
          <w:tcPr>
            <w:tcW w:type="dxa" w:w="2280"/>
          </w:tcPr>
          <w:p>
            <w:r>
              <w:rPr>
                <w:sz w:val="18"/>
              </w:rPr>
              <w:t>(Contratos vigentes/Contratos requeridos)×100</w:t>
            </w:r>
          </w:p>
        </w:tc>
        <w:tc>
          <w:tcPr>
            <w:tcW w:type="dxa" w:w="2280"/>
          </w:tcPr>
          <w:p>
            <w:r>
              <w:rPr>
                <w:sz w:val="18"/>
              </w:rPr>
              <w:t>100%</w:t>
            </w:r>
          </w:p>
        </w:tc>
        <w:tc>
          <w:tcPr>
            <w:tcW w:type="dxa" w:w="2280"/>
          </w:tcPr>
          <w:p>
            <w:r>
              <w:rPr>
                <w:sz w:val="18"/>
              </w:rPr>
              <w:t>Trimestral</w:t>
            </w:r>
          </w:p>
        </w:tc>
      </w:tr>
      <w:tr>
        <w:tc>
          <w:tcPr>
            <w:tcW w:type="dxa" w:w="2280"/>
          </w:tcPr>
          <w:p>
            <w:r>
              <w:rPr>
                <w:sz w:val="18"/>
              </w:rPr>
              <w:t>N° no conformidades de infraestructura identificadas en inspección</w:t>
            </w:r>
          </w:p>
        </w:tc>
        <w:tc>
          <w:tcPr>
            <w:tcW w:type="dxa" w:w="2280"/>
          </w:tcPr>
          <w:p>
            <w:r>
              <w:rPr>
                <w:sz w:val="18"/>
              </w:rPr>
              <w:t>Conteo absoluto</w:t>
            </w:r>
          </w:p>
        </w:tc>
        <w:tc>
          <w:tcPr>
            <w:tcW w:type="dxa" w:w="2280"/>
          </w:tcPr>
          <w:p>
            <w:r>
              <w:rPr>
                <w:sz w:val="18"/>
              </w:rPr>
              <w:t>0</w:t>
            </w:r>
          </w:p>
        </w:tc>
        <w:tc>
          <w:tcPr>
            <w:tcW w:type="dxa" w:w="2280"/>
          </w:tcPr>
          <w:p>
            <w:r>
              <w:rPr>
                <w:sz w:val="18"/>
              </w:rPr>
              <w:t>Semestral</w:t>
            </w:r>
          </w:p>
        </w:tc>
      </w:tr>
    </w:tbl>
    <w:p/>
    <w:p/>
    <w:tbl>
      <w:tblPr>
        <w:tblStyle w:val="TableGrid"/>
        <w:tblW w:type="auto" w:w="0"/>
        <w:tblLook w:firstColumn="1" w:firstRow="1" w:lastColumn="0" w:lastRow="0" w:noHBand="0" w:noVBand="1" w:val="04A0"/>
      </w:tblPr>
      <w:tblGrid>
        <w:gridCol w:w="3041"/>
        <w:gridCol w:w="3041"/>
        <w:gridCol w:w="3041"/>
      </w:tblGrid>
      <w:tr>
        <w:tc>
          <w:tcPr>
            <w:tcW w:type="dxa" w:w="3041"/>
            <w:shd w:fill="1F497D" w:color="auto" w:val="clear"/>
          </w:tcPr>
          <w:p>
            <w:pPr>
              <w:jc w:val="center"/>
            </w:pPr>
            <w:r/>
            <w:r>
              <w:rPr>
                <w:b/>
                <w:color w:val="FFFFFF"/>
                <w:sz w:val="20"/>
              </w:rPr>
              <w:t>ELABORÓ</w:t>
            </w:r>
          </w:p>
        </w:tc>
        <w:tc>
          <w:tcPr>
            <w:tcW w:type="dxa" w:w="3041"/>
            <w:shd w:fill="1F497D" w:color="auto" w:val="clear"/>
          </w:tcPr>
          <w:p>
            <w:pPr>
              <w:jc w:val="center"/>
            </w:pPr>
            <w:r/>
            <w:r>
              <w:rPr>
                <w:b/>
                <w:color w:val="FFFFFF"/>
                <w:sz w:val="20"/>
              </w:rPr>
              <w:t>REVISÓ</w:t>
            </w:r>
          </w:p>
        </w:tc>
        <w:tc>
          <w:tcPr>
            <w:tcW w:type="dxa" w:w="3041"/>
            <w:shd w:fill="1F497D" w:color="auto" w:val="clear"/>
          </w:tcPr>
          <w:p>
            <w:pPr>
              <w:jc w:val="center"/>
            </w:pPr>
            <w:r/>
            <w:r>
              <w:rPr>
                <w:b/>
                <w:color w:val="FFFFFF"/>
                <w:sz w:val="20"/>
              </w:rPr>
              <w:t>APROBÓ</w:t>
            </w:r>
          </w:p>
        </w:tc>
      </w:tr>
      <w:tr>
        <w:tc>
          <w:tcPr>
            <w:tcW w:type="dxa" w:w="3041"/>
          </w:tcPr>
          <w:p>
            <w:pPr>
              <w:jc w:val="center"/>
            </w:pPr>
            <w:r>
              <w:t>[NOMBRE DE LA MÉDICA]</w:t>
              <w:br/>
              <w:t>Médica General - Propietaria</w:t>
              <w:br/>
              <w:br/>
              <w:t>Firma: _________________________</w:t>
              <w:br/>
              <w:br/>
              <w:t>Fecha: 07/06/2026</w:t>
            </w:r>
          </w:p>
        </w:tc>
        <w:tc>
          <w:tcPr>
            <w:tcW w:type="dxa" w:w="3041"/>
          </w:tcPr>
          <w:p>
            <w:pPr>
              <w:jc w:val="center"/>
            </w:pPr>
            <w:r>
              <w:t>[NOMBRE DE LA MÉDICA]</w:t>
              <w:br/>
              <w:t>Médica General - Propietaria</w:t>
              <w:br/>
              <w:br/>
              <w:t>Firma: _________________________</w:t>
              <w:br/>
              <w:br/>
              <w:t>Fecha: 07/06/2026</w:t>
            </w:r>
          </w:p>
        </w:tc>
        <w:tc>
          <w:tcPr>
            <w:tcW w:type="dxa" w:w="3041"/>
          </w:tcPr>
          <w:p>
            <w:pPr>
              <w:jc w:val="center"/>
            </w:pPr>
            <w:r>
              <w:t>[NOMBRE DE LA MÉDICA]</w:t>
              <w:br/>
              <w:t>Médica General - Propietaria</w:t>
              <w:br/>
              <w:br/>
              <w:t>Firma: _________________________</w:t>
              <w:br/>
              <w:br/>
              <w:t>Fecha: 07/06/2026</w:t>
            </w:r>
          </w:p>
        </w:tc>
      </w:tr>
    </w:tbl>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MAN-INF-001 - Versión 1.0 - 07/06/2026  | Pág.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404040"/>
        <w:sz w:val="16"/>
      </w:rPr>
      <w:t>CONSULTORIO [NOMBRE DEL CONSULTORIO]  |  MAN-INF-001  |  Manual de Gestión de Infraestructura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