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36"/>
        </w:rPr>
        <w:t>CONSULTORIO MÉDICO</w:t>
        <w:br/>
        <w:t>[NOMBRE DEL CONSULTORIO]</w:t>
      </w:r>
    </w:p>
    <w:p/>
    <w:p>
      <w:pPr>
        <w:jc w:val="center"/>
      </w:pPr>
      <w:r>
        <w:rPr>
          <w:b/>
          <w:sz w:val="32"/>
        </w:rPr>
        <w:t>PROGRAMA DE MANTENIMIENTO DE INFRAESTRUCTURA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Código:</w:t>
            </w:r>
          </w:p>
        </w:tc>
        <w:tc>
          <w:tcPr>
            <w:tcW w:type="dxa" w:w="4561"/>
          </w:tcPr>
          <w:p>
            <w:r>
              <w:t>PRO-INF-001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Versión:</w:t>
            </w:r>
          </w:p>
        </w:tc>
        <w:tc>
          <w:tcPr>
            <w:tcW w:type="dxa" w:w="4561"/>
          </w:tcPr>
          <w:p>
            <w:r>
              <w:t>1.0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561"/>
          </w:tcPr>
          <w:p>
            <w:r>
              <w:t>07/06/2026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Elaboró:</w:t>
            </w:r>
          </w:p>
        </w:tc>
        <w:tc>
          <w:tcPr>
            <w:tcW w:type="dxa" w:w="4561"/>
          </w:tcPr>
          <w:p>
            <w:r>
              <w:t>[NOMBRE DE LA MÉDICA], Médica General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Revisó:</w:t>
            </w:r>
          </w:p>
        </w:tc>
        <w:tc>
          <w:tcPr>
            <w:tcW w:type="dxa" w:w="4561"/>
          </w:tcPr>
          <w:p>
            <w:r>
              <w:t>[NOMBRE DE LA MÉDICA], Propietaria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Aprobó:</w:t>
            </w:r>
          </w:p>
        </w:tc>
        <w:tc>
          <w:tcPr>
            <w:tcW w:type="dxa" w:w="4561"/>
          </w:tcPr>
          <w:p>
            <w:r>
              <w:t>[NOMBRE DE LA MÉDICA], Propietaria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497D"/>
          <w:sz w:val="26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Cambio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1824"/>
          </w:tcPr>
          <w:p>
            <w:r>
              <w:t>1.0</w:t>
            </w:r>
          </w:p>
        </w:tc>
        <w:tc>
          <w:tcPr>
            <w:tcW w:type="dxa" w:w="1824"/>
          </w:tcPr>
          <w:p>
            <w:r>
              <w:t>07/06/2026</w:t>
            </w:r>
          </w:p>
        </w:tc>
        <w:tc>
          <w:tcPr>
            <w:tcW w:type="dxa" w:w="1824"/>
          </w:tcPr>
          <w:p>
            <w:r>
              <w:t>Versión inicial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1. OBJETIVO</w:t>
      </w:r>
    </w:p>
    <w:p>
      <w:pPr>
        <w:jc w:val="both"/>
      </w:pPr>
      <w:r>
        <w:rPr>
          <w:rFonts w:ascii="Calibri" w:hAnsi="Calibri"/>
          <w:b w:val="0"/>
          <w:sz w:val="22"/>
        </w:rPr>
        <w:t>Definir el programa sistemático de mantenimiento preventivo y correctivo de la infraestructura física del Consultorio [NOMBRE DEL CONSULTORIO], garantizando que las instalaciones se mantengan en condiciones óptimas de funcionamiento, seguridad, higiene y cumplimiento de los estándares de habilitación establecidos por la Resolución 3100 de 2019.</w:t>
      </w:r>
    </w:p>
    <w:p>
      <w:pPr>
        <w:pStyle w:val="Heading1"/>
      </w:pPr>
      <w:r>
        <w:rPr>
          <w:b/>
          <w:color w:val="1F497D"/>
          <w:sz w:val="28"/>
        </w:rPr>
        <w:t>2. ALCANCE</w:t>
      </w:r>
    </w:p>
    <w:p>
      <w:pPr>
        <w:jc w:val="both"/>
      </w:pPr>
      <w:r>
        <w:rPr>
          <w:rFonts w:ascii="Calibri" w:hAnsi="Calibri"/>
          <w:b w:val="0"/>
          <w:sz w:val="22"/>
        </w:rPr>
        <w:t>Aplica a todas las instalaciones, redes, acabados y elementos físicos del consultorio ubicado en [DIRECCIÓN DEL CONSULTORIO], [CIUDAD], incluyendo: red eléctrica, red hidráulica, sistema de ventilación/climatización, pisos, paredes, cielos rasos, puertas, ventanas, baños, área de espera y área clínica.</w:t>
      </w:r>
    </w:p>
    <w:p>
      <w:pPr>
        <w:pStyle w:val="Heading1"/>
      </w:pPr>
      <w:r>
        <w:rPr>
          <w:b/>
          <w:color w:val="1F497D"/>
          <w:sz w:val="28"/>
        </w:rPr>
        <w:t>3. MARCO LEGAL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Resolución 3100 de 2019 - Estándares de infraestructura para habilitación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NSR-10 - Reglamento de Construcción Sismo Resistente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Decreto 1072 de 2015 - Seguridad en el trabajo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Resolución 0312 de 2019 - Estándares mínimos SST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RETIE - Reglamento Técnico de Instalaciones Eléctricas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NTC 2050 - Código Eléctrico Colombiano</w:t>
      </w:r>
    </w:p>
    <w:p>
      <w:pPr>
        <w:pStyle w:val="Heading1"/>
      </w:pPr>
      <w:r>
        <w:rPr>
          <w:b/>
          <w:color w:val="1F497D"/>
          <w:sz w:val="28"/>
        </w:rPr>
        <w:t>4. DEFINICIONES</w:t>
      </w:r>
    </w:p>
    <w:p>
      <w:pPr>
        <w:jc w:val="both"/>
      </w:pPr>
      <w:r>
        <w:rPr>
          <w:b/>
          <w:sz w:val="22"/>
        </w:rPr>
        <w:t xml:space="preserve">Mantenimiento preventivo: </w:t>
      </w:r>
      <w:r>
        <w:rPr>
          <w:sz w:val="22"/>
        </w:rPr>
        <w:t>Conjunto de actividades programadas orientadas a prevenir fallas y deterioro de la infraestructura, realizadas antes de que ocurra una falla.</w:t>
      </w:r>
    </w:p>
    <w:p>
      <w:pPr>
        <w:jc w:val="both"/>
      </w:pPr>
      <w:r>
        <w:rPr>
          <w:b/>
          <w:sz w:val="22"/>
        </w:rPr>
        <w:t xml:space="preserve">Mantenimiento correctivo: </w:t>
      </w:r>
      <w:r>
        <w:rPr>
          <w:sz w:val="22"/>
        </w:rPr>
        <w:t>Actividades realizadas para corregir una falla o deterioro ya ocurrido, restableciendo las condiciones normales de operación.</w:t>
      </w:r>
    </w:p>
    <w:p>
      <w:pPr>
        <w:jc w:val="both"/>
      </w:pPr>
      <w:r>
        <w:rPr>
          <w:b/>
          <w:sz w:val="22"/>
        </w:rPr>
        <w:t xml:space="preserve">Orden de trabajo: </w:t>
      </w:r>
      <w:r>
        <w:rPr>
          <w:sz w:val="22"/>
        </w:rPr>
        <w:t>Documento que registra la solicitud, descripción, ejecución y cierre de una actividad de mantenimiento.</w:t>
      </w:r>
    </w:p>
    <w:p>
      <w:pPr>
        <w:jc w:val="both"/>
      </w:pPr>
      <w:r>
        <w:rPr>
          <w:b/>
          <w:sz w:val="22"/>
        </w:rPr>
        <w:t xml:space="preserve">No conformidad de infraestructura: </w:t>
      </w:r>
      <w:r>
        <w:rPr>
          <w:sz w:val="22"/>
        </w:rPr>
        <w:t>Condición de la infraestructura que no cumple con los estándares mínimos de habilitación o seguridad establecidos.</w:t>
      </w:r>
    </w:p>
    <w:p>
      <w:pPr>
        <w:pStyle w:val="Heading1"/>
      </w:pPr>
      <w:r>
        <w:rPr>
          <w:b/>
          <w:color w:val="1F497D"/>
          <w:sz w:val="28"/>
        </w:rPr>
        <w:t>5. CRONOGRAMA ANUAL DE MANTENIMIENTO PREVENTIVO</w:t>
      </w:r>
    </w:p>
    <w:p>
      <w:pPr>
        <w:jc w:val="both"/>
      </w:pPr>
      <w:r>
        <w:rPr>
          <w:rFonts w:ascii="Calibri" w:hAnsi="Calibri"/>
          <w:b w:val="0"/>
          <w:sz w:val="22"/>
        </w:rPr>
        <w:t>El siguiente cronograma establece las actividades de mantenimiento preventivo para cada mes del año: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2"/>
        <w:gridCol w:w="702"/>
        <w:gridCol w:w="702"/>
        <w:gridCol w:w="702"/>
        <w:gridCol w:w="702"/>
        <w:gridCol w:w="702"/>
        <w:gridCol w:w="702"/>
        <w:gridCol w:w="702"/>
        <w:gridCol w:w="702"/>
        <w:gridCol w:w="702"/>
        <w:gridCol w:w="702"/>
        <w:gridCol w:w="702"/>
        <w:gridCol w:w="702"/>
      </w:tblGrid>
      <w:tr>
        <w:tc>
          <w:tcPr>
            <w:tcW w:type="dxa" w:w="70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70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Ene</w:t>
            </w:r>
          </w:p>
        </w:tc>
        <w:tc>
          <w:tcPr>
            <w:tcW w:type="dxa" w:w="70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Feb</w:t>
            </w:r>
          </w:p>
        </w:tc>
        <w:tc>
          <w:tcPr>
            <w:tcW w:type="dxa" w:w="70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Mar</w:t>
            </w:r>
          </w:p>
        </w:tc>
        <w:tc>
          <w:tcPr>
            <w:tcW w:type="dxa" w:w="70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Abr</w:t>
            </w:r>
          </w:p>
        </w:tc>
        <w:tc>
          <w:tcPr>
            <w:tcW w:type="dxa" w:w="70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May</w:t>
            </w:r>
          </w:p>
        </w:tc>
        <w:tc>
          <w:tcPr>
            <w:tcW w:type="dxa" w:w="70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Jun</w:t>
            </w:r>
          </w:p>
        </w:tc>
        <w:tc>
          <w:tcPr>
            <w:tcW w:type="dxa" w:w="70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Jul</w:t>
            </w:r>
          </w:p>
        </w:tc>
        <w:tc>
          <w:tcPr>
            <w:tcW w:type="dxa" w:w="70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Ago</w:t>
            </w:r>
          </w:p>
        </w:tc>
        <w:tc>
          <w:tcPr>
            <w:tcW w:type="dxa" w:w="70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Sep</w:t>
            </w:r>
          </w:p>
        </w:tc>
        <w:tc>
          <w:tcPr>
            <w:tcW w:type="dxa" w:w="70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Oct</w:t>
            </w:r>
          </w:p>
        </w:tc>
        <w:tc>
          <w:tcPr>
            <w:tcW w:type="dxa" w:w="70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Nov</w:t>
            </w:r>
          </w:p>
        </w:tc>
        <w:tc>
          <w:tcPr>
            <w:tcW w:type="dxa" w:w="702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Dic</w:t>
            </w:r>
          </w:p>
        </w:tc>
      </w:tr>
      <w:tr>
        <w:tc>
          <w:tcPr>
            <w:tcW w:type="dxa" w:w="702"/>
          </w:tcPr>
          <w:p>
            <w:r>
              <w:rPr>
                <w:sz w:val="16"/>
              </w:rPr>
              <w:t>Limpieza filtros A/A y ventilación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</w:tr>
      <w:tr>
        <w:tc>
          <w:tcPr>
            <w:tcW w:type="dxa" w:w="702"/>
          </w:tcPr>
          <w:p>
            <w:r>
              <w:rPr>
                <w:sz w:val="16"/>
              </w:rPr>
              <w:t>Inspección red eléctrica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</w:tr>
      <w:tr>
        <w:tc>
          <w:tcPr>
            <w:tcW w:type="dxa" w:w="702"/>
          </w:tcPr>
          <w:p>
            <w:r>
              <w:rPr>
                <w:sz w:val="16"/>
              </w:rPr>
              <w:t>Revisión red hidráulica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02"/>
          </w:tcPr>
          <w:p>
            <w:r>
              <w:rPr>
                <w:sz w:val="16"/>
              </w:rPr>
              <w:t>Inspección pisos y paredes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02"/>
          </w:tcPr>
          <w:p>
            <w:r>
              <w:rPr>
                <w:sz w:val="16"/>
              </w:rPr>
              <w:t>Revisión puertas y ventanas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02"/>
          </w:tcPr>
          <w:p>
            <w:r>
              <w:rPr>
                <w:sz w:val="16"/>
              </w:rPr>
              <w:t>Revisión y recarga extintores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</w:tr>
      <w:tr>
        <w:tc>
          <w:tcPr>
            <w:tcW w:type="dxa" w:w="702"/>
          </w:tcPr>
          <w:p>
            <w:r>
              <w:rPr>
                <w:sz w:val="16"/>
              </w:rPr>
              <w:t>Control de plagas y vectores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</w:tr>
      <w:tr>
        <w:tc>
          <w:tcPr>
            <w:tcW w:type="dxa" w:w="702"/>
          </w:tcPr>
          <w:p>
            <w:r>
              <w:rPr>
                <w:sz w:val="16"/>
              </w:rPr>
              <w:t>Verificación señalización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</w:tr>
      <w:tr>
        <w:tc>
          <w:tcPr>
            <w:tcW w:type="dxa" w:w="702"/>
          </w:tcPr>
          <w:p>
            <w:r>
              <w:rPr>
                <w:sz w:val="16"/>
              </w:rPr>
              <w:t>Mantenimiento camilla examen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</w:tr>
      <w:tr>
        <w:tc>
          <w:tcPr>
            <w:tcW w:type="dxa" w:w="702"/>
          </w:tcPr>
          <w:p>
            <w:r>
              <w:rPr>
                <w:sz w:val="16"/>
              </w:rPr>
              <w:t>Inspección área residuos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</w:tr>
      <w:tr>
        <w:tc>
          <w:tcPr>
            <w:tcW w:type="dxa" w:w="702"/>
          </w:tcPr>
          <w:p>
            <w:r>
              <w:rPr>
                <w:sz w:val="16"/>
              </w:rPr>
              <w:t>Pintura y acabados (si necesario)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702"/>
          </w:tcPr>
          <w:p>
            <w:r>
              <w:rPr>
                <w:sz w:val="16"/>
              </w:rPr>
              <w:t>Revisión PGIRH y contrato empresa gestora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  <w:t>X</w:t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  <w:tc>
          <w:tcPr>
            <w:tcW w:type="dxa" w:w="702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6. PROCEDIMIENTO PARA MANTENIMIENTO CORRECTIVO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Paso 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Identificación de la falla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El personal del consultorio identifica una condición de la infraestructura que no está funcionando correctamente o que representa un riesgo. La reporta a la médica propietaria verbalmente o por escrito.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Paso 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Evaluación de la urgencia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La médica propietaria evalúa si la falla representa: a) Riesgo inmediato para pacientes o personal (acción inmediata), b) Impacto en la operación del consultorio (acción en 24-48h), c) Deterioro cosmético o funcional menor (programar en mantenimiento preventivo).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Paso 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Apertura de orden de trabajo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 diligencia el formato de orden de trabajo con la descripción de la falla, fecha, área afectada y prioridad asignada.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Paso 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Contacto con proveedor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 contacta al proveedor de mantenimiento calificado para el tipo de falla: electricista, plomero, técnico de aires, contratista de construcción.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Paso 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Ejecución del mantenimiento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El proveedor realiza la reparación. El personal del consultorio verifica que el trabajo se realice correctamente.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Paso 6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Verificación y cierre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 verifica que la falla fue corregida y que la infraestructura cumple nuevamente con los estándares requeridos. Se cierra la orden de trabajo con la fecha de solución.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Paso 7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Registro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 registra la intervención en el formato FOR-INF-001 y se archiva el comprobante del servicio realizado.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7. PROVEEDORES DE MANTENIMIENTO</w:t>
      </w:r>
    </w:p>
    <w:p>
      <w:pPr>
        <w:jc w:val="both"/>
      </w:pPr>
      <w:r>
        <w:rPr>
          <w:rFonts w:ascii="Calibri" w:hAnsi="Calibri"/>
          <w:b w:val="0"/>
          <w:sz w:val="22"/>
        </w:rPr>
        <w:t>El consultorio mantiene los siguientes proveedores calificados para servicios de mantenimiento: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 de mantenimiento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Proveedor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Teléfono de contacto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Eléctrico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[NOMBRE ELECTRICISTA]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[TELÉFONO]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Certificado RETIE vigente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Hidráulico/Plomería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[NOMBRE PLOMERO]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[TELÉFONO]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Aire acondicionado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[NOMBRE TÉCNICO A/A]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[TELÉFONO]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Control de plagas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[NOMBRE EMPRESA]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[TELÉFONO]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Licencia ambiental vigente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Gestión de residuos peligrosos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[NOMBRE EMPRESA GESTORA]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[TELÉFONO]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Contrato vigente, licencia ambiental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Mantenimiento general (pintura, mampostería)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[NOMBRE CONTRATISTA]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[TELÉFONO]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8. INDICADORES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Fórmula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% actividades mantenimiento preventivo ejecutadas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Realizadas/Programadas×100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≥90%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Anual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Tiempo promedio resolución mantenimiento correctivo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Suma días resolución/N° correctivos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≤5 días hábiles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Mensual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N° no conformidades infraestructura en visitas de habilitación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Conteo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En cada visita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REVISÓ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PRO-INF-001 - Versión 1.0 - 07/06/2026  | Pág.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404040"/>
        <w:sz w:val="16"/>
      </w:rPr>
      <w:t>CONSULTORIO [NOMBRE DEL CONSULTORIO]  |  PRO-INF-001  |  Programa de Mantenimiento de Infraestructura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