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MANUAL DE GESTIÓN DE MEDICAMENTOS Y DISPOSITIVOS MÉDICOS TERAPÉUTICOS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MAN-MED-001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los lineamientos para la gestión integral de medicamentos y dispositivos médicos terapéuticos del Consultorio [NOMBRE DEL CONSULTORIO], incluyendo su selección, adquisición, almacenamiento, dispensación, control de calidad, farmacovigilancia y disposición final, garantizando el cumplimiento de la normatividad colombiana vigente y la seguridad de los pacientes en el uso de estos productos.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Aplica a todos los medicamentos y dispositivos médicos terapéuticos disponibles en el consultorio: botiquín de urgencias para la consulta de medicina general, y medicamentos/dispositivos médicos utilizados en los procedimientos estéticos no invasivos (toxina botulínica tipo A, ácido hialurónico, agentes para peelings, cócteles de mesoterapia, etc.).</w:t>
      </w:r>
    </w:p>
    <w:p>
      <w:pPr>
        <w:pStyle w:val="Heading1"/>
      </w:pPr>
      <w:r>
        <w:rPr>
          <w:b/>
          <w:color w:val="1F497D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212 de 1995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Reglamenta la profesión de químico farmacéutico y establece los requisitos para la gestión de medicamentos.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2200 de 2005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Reglamenta el servicio farmacéutico. Establece las condiciones para la gestión del medicamento en las instituciones de salud.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1478 de 2006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Establece las normas para el control, seguimiento y vigilancia de la importación, exportación, procesamiento, síntesis, fabricación, distribución, dispensación, compra, venta y uso de sustancias que se utilizan como precursores o como sustancias psicoactivas.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2004009455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Adopta el Programa Nacional de Farmacovigilancia en Colombia. Establece la obligatoriedad de reporte de reacciones adversas a medicamentos (RAM) al INVIMA.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4816 de 2008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Programa Nacional de Tecnovigilancia. Para dispositivos médicos terapéuticos.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4725 de 2005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Regula registros sanitarios de dispositivos médicos. Aplica al ácido hialurónico, tubos PRP, etc.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3100 de 2019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Estándares de habilitación relacionados con medicamentos y dispositivos médicos disponibles en el servicio.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780 de 2016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Decreto Único del Sector Salud. Consolida normativa sobre medicamentos y dispositivos.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1403 de 2007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Modelo de Gestión del Servicio Farmacéutico. Adoptado como referencia.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9 de 1979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Código Sanitario Nacional. Normas generales sobre alimentos, medicamentos y productos similares.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4. DEFINICIONES</w:t>
      </w:r>
    </w:p>
    <w:p>
      <w:pPr>
        <w:jc w:val="both"/>
      </w:pPr>
      <w:r>
        <w:rPr>
          <w:b/>
          <w:sz w:val="22"/>
        </w:rPr>
        <w:t xml:space="preserve">Medicamento: </w:t>
      </w:r>
      <w:r>
        <w:rPr>
          <w:sz w:val="22"/>
        </w:rPr>
        <w:t>Toda preparación o producto farmacéutico empleado para la prevención, diagnóstico, tratamiento, mitigación y cura de enfermedades, para el alivio de síntomas y la modificación de procesos fisiológicos normales o patológicos.</w:t>
      </w:r>
    </w:p>
    <w:p>
      <w:pPr>
        <w:jc w:val="both"/>
      </w:pPr>
      <w:r>
        <w:rPr>
          <w:b/>
          <w:sz w:val="22"/>
        </w:rPr>
        <w:t xml:space="preserve">Dispositivo médico terapéutico: </w:t>
      </w:r>
      <w:r>
        <w:rPr>
          <w:sz w:val="22"/>
        </w:rPr>
        <w:t>Dispositivo médico utilizado con fines terapéuticos directos en el paciente: ácido hialurónico, apósitos activos, etc.</w:t>
      </w:r>
    </w:p>
    <w:p>
      <w:pPr>
        <w:jc w:val="both"/>
      </w:pPr>
      <w:r>
        <w:rPr>
          <w:b/>
          <w:sz w:val="22"/>
        </w:rPr>
        <w:t xml:space="preserve">Registro sanitario INVIMA: </w:t>
      </w:r>
      <w:r>
        <w:rPr>
          <w:sz w:val="22"/>
        </w:rPr>
        <w:t>Autorización expedida por el Instituto Nacional de Vigilancia de Medicamentos y Alimentos para la comercialización de un medicamento o dispositivo médico en Colombia.</w:t>
      </w:r>
    </w:p>
    <w:p>
      <w:pPr>
        <w:jc w:val="both"/>
      </w:pPr>
      <w:r>
        <w:rPr>
          <w:b/>
          <w:sz w:val="22"/>
        </w:rPr>
        <w:t xml:space="preserve">Cadena de frío: </w:t>
      </w:r>
      <w:r>
        <w:rPr>
          <w:sz w:val="22"/>
        </w:rPr>
        <w:t>Sistema de almacenamiento y distribución que mantiene los biológicos y termoestables entre los rangos de temperatura requeridos desde el fabricante hasta el usuario final.</w:t>
      </w:r>
    </w:p>
    <w:p>
      <w:pPr>
        <w:jc w:val="both"/>
      </w:pPr>
      <w:r>
        <w:rPr>
          <w:b/>
          <w:sz w:val="22"/>
        </w:rPr>
        <w:t xml:space="preserve">Farmacovigilancia: </w:t>
      </w:r>
      <w:r>
        <w:rPr>
          <w:sz w:val="22"/>
        </w:rPr>
        <w:t>Ciencia y actividades relacionadas con la detección, evaluación, comprensión y prevención de efectos adversos o cualquier otro problema relacionado con medicamentos.</w:t>
      </w:r>
    </w:p>
    <w:p>
      <w:pPr>
        <w:jc w:val="both"/>
      </w:pPr>
      <w:r>
        <w:rPr>
          <w:b/>
          <w:sz w:val="22"/>
        </w:rPr>
        <w:t xml:space="preserve">Reacción Adversa a Medicamento (RAM): </w:t>
      </w:r>
      <w:r>
        <w:rPr>
          <w:sz w:val="22"/>
        </w:rPr>
        <w:t>Cualquier respuesta a un medicamento que sea nociva y no intencionada, y que tenga lugar a dosis normalmente usadas en el ser humano para la profilaxis, el diagnóstico o el tratamiento.</w:t>
      </w:r>
    </w:p>
    <w:p>
      <w:pPr>
        <w:jc w:val="both"/>
      </w:pPr>
      <w:r>
        <w:rPr>
          <w:b/>
          <w:sz w:val="22"/>
        </w:rPr>
        <w:t xml:space="preserve">Botiquín: </w:t>
      </w:r>
      <w:r>
        <w:rPr>
          <w:sz w:val="22"/>
        </w:rPr>
        <w:t>Conjunto de medicamentos e insumos médicos destinados a la atención de urgencias médicas básicas.</w:t>
      </w:r>
    </w:p>
    <w:p>
      <w:pPr>
        <w:jc w:val="both"/>
      </w:pPr>
      <w:r>
        <w:rPr>
          <w:b/>
          <w:sz w:val="22"/>
        </w:rPr>
        <w:t xml:space="preserve">Fecha de vencimiento: </w:t>
      </w:r>
      <w:r>
        <w:rPr>
          <w:sz w:val="22"/>
        </w:rPr>
        <w:t>Fecha a partir de la cual el fabricante no garantiza la estabilidad y efectividad del medicamento o dispositivo médico.</w:t>
      </w:r>
    </w:p>
    <w:p>
      <w:pPr>
        <w:pStyle w:val="Heading1"/>
      </w:pPr>
      <w:r>
        <w:rPr>
          <w:b/>
          <w:color w:val="1F497D"/>
          <w:sz w:val="28"/>
        </w:rPr>
        <w:t>5. BOTIQUÍN DE URGENCIAS PARA MEDICINA GENERAL</w:t>
      </w:r>
    </w:p>
    <w:p>
      <w:pPr>
        <w:pStyle w:val="Heading2"/>
      </w:pPr>
      <w:r>
        <w:rPr>
          <w:b/>
          <w:color w:val="2E74B5"/>
          <w:sz w:val="24"/>
        </w:rPr>
        <w:t>5.1 Composición del Botiquín de Urgencias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debe mantener permanentemente disponible un botiquín de urgencias con los medicamentos e insumos necesarios para el manejo inicial de las situaciones de urgencia más frecuentes que puedan presentarse durante la consulta: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Cantidad mínima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Indicación de urgencia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Condiciones de almacenamiento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Registro INVIMA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Adrenalina (epinefrina) 1mg/1ml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reacción anafiláctica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Refrigeración no obligatoria; lugar fresco y oscuro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Hidrocortisona 500mg IV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viales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reacción alérgica severa, insuficiencia suprarrenal aguda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Difenhidramina (antihistamínico)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reacciones alérgicas moderadas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Nitroglicerina sublingual (spray o tabletas)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 frasco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crisis anginosa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ambiente, protegido de luz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Dexametasona 4mg/ml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Antiinflamatorio, antialérgico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Glucosa 50% en jeringa 50ml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 unidad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hipoglucemia severa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Metoclopramida 10mg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náuseas y vómitos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Diazepam 10mg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crisis convulsivas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Solución salina NaCl 0.9% 250ml o 500ml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bolsas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rehidratación, dilución de medicamentos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Atropina 1mg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bradicardia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Salbutamol (ventolin) inhalador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 unidad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broncoespasmo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Furosemida 20mg inyectable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2 ampollas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edema agudo de pulmón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Ácido acetilsalicílico 300mg tabletas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5 tabletas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Para síndrome coronario agudo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Temperatura ambiente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[REGISTRO INVIMA]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5.2 Insumos del Botiquín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Jeringas de 1ml, 3ml, 5ml, 10ml (mínimo 5 de cada una)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Agujas 21G, 23G, 25G (mínimo 5 de cada una)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Catéter IV (venoclisis) N° 18, 20, 22 (mínimo 2 de cada uno)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Llave de 3 vías (2 unidades)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Equipo de venoclisis (2 unidades)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Guantes estériles talla S, M, L (2 pares de cada talla)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Gasas estériles 10x10 cm (1 caja)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Esparadrapo / cinta adhesiva médica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Tensiómetro, fonendoscopio, oxímetro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Ambú adulto (1 unidad)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Cánulas de Guedel N° 4, 5, 6 (1 de cada una)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Mascarilla de alto flujo con reservorio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Mascarilla de venturi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Oxígeno medicinal portátil con regulador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Tabla de soporte cardíaco para RCP</w:t>
      </w:r>
    </w:p>
    <w:p>
      <w:pPr>
        <w:pStyle w:val="Heading1"/>
      </w:pPr>
      <w:r>
        <w:rPr>
          <w:b/>
          <w:color w:val="1F497D"/>
          <w:sz w:val="28"/>
        </w:rPr>
        <w:t>6. MEDICAMENTOS PARA PROCEDIMIENTOS ESTÉTICOS NO INVASIVOS</w:t>
      </w:r>
    </w:p>
    <w:p>
      <w:pPr>
        <w:pStyle w:val="Heading2"/>
      </w:pPr>
      <w:r>
        <w:rPr>
          <w:b/>
          <w:color w:val="2E74B5"/>
          <w:sz w:val="24"/>
        </w:rPr>
        <w:t>6.1 Toxina Botulínica Tipo A</w:t>
      </w:r>
    </w:p>
    <w:p>
      <w:pPr>
        <w:jc w:val="both"/>
      </w:pPr>
      <w:r>
        <w:rPr>
          <w:rFonts w:ascii="Calibri" w:hAnsi="Calibri"/>
          <w:b w:val="0"/>
          <w:sz w:val="22"/>
        </w:rPr>
        <w:t>La toxina botulínica tipo A es un medicamento biológico de uso exclusivo médico. Su gestión en el consultorio debe cumplir con los siguientes lineamientos:</w:t>
      </w:r>
    </w:p>
    <w:p>
      <w:pPr>
        <w:jc w:val="both"/>
      </w:pPr>
      <w:r>
        <w:rPr>
          <w:rFonts w:ascii="Calibri" w:hAnsi="Calibri"/>
          <w:b/>
          <w:sz w:val="22"/>
        </w:rPr>
        <w:t>CADENA DE FRÍO - REQUISITO CRÍTICO: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Temperatura de almacenamiento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2-8°C. NUNCA congelar. NUNCA exponer a temperatura &gt;8°C por más de 4 horas.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Registro INVIMA requerido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Verificar que el producto tenga registro INVIMA vigente como medicamento (no cosmético)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Proveedor autorizado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Adquirir ÚNICAMENTE de importadores o distribuidores autorizados por el INVIMA para toxina botulínica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Fecha de vencimiento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Verificar antes de cada uso. Registrar lote y vencimiento en la historia clínica del paciente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Reconstitución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Reconstituir según instrucciones del fabricante con solución salina 0.9% estéril sin preservantes. Usar la concentración correcta (típicamente 2.5-4 UI/0.1ml según técnica y fabricante)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Almacenamiento post-reconstitución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Una vez reconstituida: usar en el mismo día (máximo 4 horas si se mantiene refrigerada). Algunos fabricantes permiten hasta 24h a 2-8°C. Verificar inserto.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Disposición de sobrante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Desnaturalizar con solución de hipoclorito antes de desechar. Desechar en residuos biosanitarios.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Marcas disponibles en Colombia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Botox® (AbbVie), Dysport® (Ipsen), Xeomin® (Merz) - verificar registro INVIMA vigente de cada marca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6.2 Ácido Hialurónico (Rellenos Dérmicos)</w:t>
      </w:r>
    </w:p>
    <w:p>
      <w:pPr>
        <w:jc w:val="both"/>
      </w:pPr>
      <w:r>
        <w:rPr>
          <w:rFonts w:ascii="Calibri" w:hAnsi="Calibri"/>
          <w:b w:val="0"/>
          <w:sz w:val="22"/>
        </w:rPr>
        <w:t>El ácido hialurónico para rellenos dérmicos es un dispositivo médico de Clase III (alto riesgo) según el Decreto 4725 de 2005 y la normativa INVIMA: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Clasificación regulatoria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Dispositivo médico Clase III. Requiere registro INVIMA como dispositivo médico (NO como cosmético).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Temperatura almacenamiento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Temperatura ambiente (15-25°C) protegido de la luz solar directa. No refrigerar. No congelar.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Tipos en Colombia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Reticulado (para voluminización: labios, surcos, pómulos) vs no reticulado (para hidratación dérmica). Varios rangos de viscosidad.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Proveedor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Adquirir de distribuidores autorizados con documentación del registro INVIMA. Exigir factura con lote y registro.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Verificación antes del uso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Comprobar: aspecto del gel (sin partículas, sin cambio de color), fecha de vencimiento, integridad del envase, registro INVIMA.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Hialuronidasa (antídoto obligatorio)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Mantener SIEMPRE hialuronidasa disponible cuando se aplique ácido hialurónico. Protocolo de emergencia por oclusión vascular incluido en PRO-PP-002.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7. ALMACENAMIENTO DE MEDICAMENTOS</w:t>
      </w:r>
    </w:p>
    <w:p>
      <w:pPr>
        <w:pStyle w:val="Heading2"/>
      </w:pPr>
      <w:r>
        <w:rPr>
          <w:b/>
          <w:color w:val="2E74B5"/>
          <w:sz w:val="24"/>
        </w:rPr>
        <w:t>7.1 Condiciones Generales de Almacenamiento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Temperatura controlada: temperatura ambiente (15-25°C) para medicamentos que no requieren cadena de frío. Monitorear con termómetro ambiental.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Protección de la luz: mantener medicamentos fotosensibles en sus envases originales y en lugar oscuro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Humedad controlada: evitar almacenar en lugares húmedos o con cambios bruscos de temperatura (no en baños ni cerca de ventanas)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Identificación: todos los medicamentos deben estar claramente identificados y en sus envases originales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Rotación de stock (FEFO - First Expired First Out): los medicamentos con fecha de vencimiento más próxima se usan primero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Separación: medicamentos para uso en pacientes separados de cualquier otro producto de limpieza o uso personal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Acceso controlado: acceso restringido a personal autorizado (médica propietaria)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Refrigerador exclusivo para medicamentos: no mezclar con alimentos ni otros productos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Registro de entradas y salidas en el formato FOR-MED-001</w:t>
      </w:r>
    </w:p>
    <w:p>
      <w:pPr>
        <w:pStyle w:val="Heading2"/>
      </w:pPr>
      <w:r>
        <w:rPr>
          <w:b/>
          <w:color w:val="2E74B5"/>
          <w:sz w:val="24"/>
        </w:rPr>
        <w:t>7.2 Almacenamiento según Condición Especial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Condición de almacenamiento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Temperatura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Medicamentos del consultorio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Refrigeración (cadena de frío)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2-8°C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Toxina botulínica tipo A, vacunas si aplica, insulina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Temperatura ambiente controlada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15-25°C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Ácido hialurónico, mayoría de medicamentos del botiquín, peelings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Proteger de la luz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Temperatura ambiente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Difenhidramina, metoclopramida, algunas soluciones IV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Controlados (si aplica)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Temperatura ambiente bajo llave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Diazepam (si se tiene) - en caso de tener este tipo de medicamentos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8. FARMACOVIGILANCIA</w:t>
      </w:r>
    </w:p>
    <w:p>
      <w:pPr>
        <w:pStyle w:val="Heading2"/>
      </w:pPr>
      <w:r>
        <w:rPr>
          <w:b/>
          <w:color w:val="2E74B5"/>
          <w:sz w:val="24"/>
        </w:rPr>
        <w:t>8.1 Programa de Farmacovigilancia</w:t>
      </w:r>
    </w:p>
    <w:p>
      <w:pPr>
        <w:jc w:val="both"/>
      </w:pPr>
      <w:r>
        <w:rPr>
          <w:rFonts w:ascii="Calibri" w:hAnsi="Calibri"/>
          <w:b w:val="0"/>
          <w:sz w:val="22"/>
        </w:rPr>
        <w:t>En cumplimiento de la Resolución 2004009455, el consultorio implementa el siguiente programa de farmacovigilancia para la detección y reporte de reacciones adversas a medicamentos (RAM):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Identificación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personal identifica cualquier reacción inesperada en el paciente que pueda estar relacionada con un medicamento administrado o prescrito en el consultorio.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Documentación inicial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registra en la historia clínica del paciente: medicamento sospechoso, dosis, vía de administración, fecha de inicio, descripción de la reacción, manejo dado.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Evaluación de causalidad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evalúa la causalidad según el algoritmo de Naranjo: ¿es probable, posible o dudosa la relación medicamento-reacción adversa?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Notificación al INVIMA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Las RAM graves (que requirieron hospitalización, causaron discapacidad, fueron mortales o congénitas) deben reportarse al INVIMA a través del Programa Nacional de Farmacovigilancia en www.invima.gov.co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Seguimiento del paciente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Hacer seguimiento al paciente hasta la resolución del evento adverso. Documentar evolución.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Análisis y aprendizaje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Analizar la causa del evento adverso y establecer acciones para prevenir recurrencias: cambio de medicamento, ajuste de dosis, contraindicación en el paciente específico.</w:t>
            </w:r>
          </w:p>
        </w:tc>
      </w:tr>
    </w:tbl>
    <w:p/>
    <w:p>
      <w:pPr>
        <w:pStyle w:val="Heading2"/>
      </w:pPr>
      <w:r>
        <w:rPr>
          <w:b/>
          <w:color w:val="2E74B5"/>
          <w:sz w:val="24"/>
        </w:rPr>
        <w:t>8.2 Farmacovigilancia Específica para Productos Estéticos</w:t>
      </w:r>
    </w:p>
    <w:p>
      <w:pPr>
        <w:jc w:val="both"/>
      </w:pPr>
      <w:r>
        <w:rPr>
          <w:rFonts w:ascii="Calibri" w:hAnsi="Calibri"/>
          <w:b w:val="0"/>
          <w:sz w:val="22"/>
        </w:rPr>
        <w:t>Para los productos utilizados en procedimientos estéticos, se deben reportar los siguientes eventos: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Reacciones alérgicas o anafilácticas a la toxina botulínica o al ácido hialurónico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Efectos adversos inesperados de la toxina botulínica: ptosis severa, disfagia, parálisis muscular no esperada, propagación del efecto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Complicaciones vasculares por rellenos dérmicos: necrosis, ceguera, ACV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Infecciones graves post-procedimiento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Formación de granulomas o nódulos por rellenos dérmicos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Cualquier evento adverso grave atribuible a un dispositivo médico o medicamento utilizado en estética</w:t>
      </w:r>
    </w:p>
    <w:p>
      <w:pPr>
        <w:pStyle w:val="Heading1"/>
      </w:pPr>
      <w:r>
        <w:rPr>
          <w:b/>
          <w:color w:val="1F497D"/>
          <w:sz w:val="28"/>
        </w:rPr>
        <w:t>9. CONTROL DE FECHAS DE VENCIMIENTO</w:t>
      </w:r>
    </w:p>
    <w:p>
      <w:pPr>
        <w:jc w:val="both"/>
      </w:pPr>
      <w:r>
        <w:rPr>
          <w:rFonts w:ascii="Calibri" w:hAnsi="Calibri"/>
          <w:b w:val="0"/>
          <w:sz w:val="22"/>
        </w:rPr>
        <w:t>Se establece el siguiente sistema para el control de fechas de vencimiento de medicamentos y dispositivos médicos: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Revisión mensual: El primer día hábil de cada mes se realiza una revisión de las fechas de vencimiento de todos los medicamentos y dispositivos médicos del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Rotación FEFO: Los productos con vencimiento más próximo se colocan al frente para ser usados primero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Alerta temprana: Los productos que vencen en los próximos 3 meses se marcan con señal visible (ej. cinta de color rojo)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Retiro de vencidos: Los medicamentos vencidos se retiran inmediatamente del inventario activo y se almacenan separados para disposición final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Disposición final: Los medicamentos vencidos se entregan a la empresa gestora de residuos farmacéuticos o se devuelven al proveedor según el plan de retorno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Registro: Cada revisión de fechas de vencimiento se registra en el formato FOR-MED-001</w:t>
      </w:r>
    </w:p>
    <w:p>
      <w:pPr>
        <w:pStyle w:val="Heading1"/>
      </w:pPr>
      <w:r>
        <w:rPr>
          <w:b/>
          <w:color w:val="1F497D"/>
          <w:sz w:val="28"/>
        </w:rPr>
        <w:t>10.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botiquín completo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(Medicamentos disponibles/Medicamentos requeridos)×100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medicamentos sin vencer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(Medicamentos vigentes/Total medicamentos)×100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N° RAM reportadas al INVIMA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Conteo de reportes realizados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Reportar 100% de RAM graves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productos con registro INVIMA vigente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(Productos con INVIMA/Total productos)×100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Trimestral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MAN-MED-001 -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MAN-MED-001  |  Manual de Gestión de Medicamentos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