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36"/>
        </w:rPr>
        <w:t>CONSULTORIO MÉDICO</w:t>
        <w:br/>
        <w:t>[NOMBRE DEL CONSULTORIO]</w:t>
      </w:r>
    </w:p>
    <w:p/>
    <w:p>
      <w:pPr>
        <w:jc w:val="center"/>
      </w:pPr>
      <w:r>
        <w:rPr>
          <w:b/>
          <w:sz w:val="30"/>
        </w:rPr>
        <w:t>PROCESO DE CONSULTA DE MEDICINA GENERAL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Código:</w:t>
            </w:r>
          </w:p>
        </w:tc>
        <w:tc>
          <w:tcPr>
            <w:tcW w:type="dxa" w:w="4561"/>
          </w:tcPr>
          <w:p>
            <w:r>
              <w:t>PRO-PP-001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Versión:</w:t>
            </w:r>
          </w:p>
        </w:tc>
        <w:tc>
          <w:tcPr>
            <w:tcW w:type="dxa" w:w="4561"/>
          </w:tcPr>
          <w:p>
            <w:r>
              <w:t>1.0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Fecha:</w:t>
            </w:r>
          </w:p>
        </w:tc>
        <w:tc>
          <w:tcPr>
            <w:tcW w:type="dxa" w:w="4561"/>
          </w:tcPr>
          <w:p>
            <w:r>
              <w:t>07/06/2026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Elaboró:</w:t>
            </w:r>
          </w:p>
        </w:tc>
        <w:tc>
          <w:tcPr>
            <w:tcW w:type="dxa" w:w="4561"/>
          </w:tcPr>
          <w:p>
            <w:r>
              <w:t>[NOMBRE DE LA MÉDICA], Médica General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Revisó:</w:t>
            </w:r>
          </w:p>
        </w:tc>
        <w:tc>
          <w:tcPr>
            <w:tcW w:type="dxa" w:w="4561"/>
          </w:tcPr>
          <w:p>
            <w:r>
              <w:t>[NOMBRE DE LA MÉDICA]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Aprobó:</w:t>
            </w:r>
          </w:p>
        </w:tc>
        <w:tc>
          <w:tcPr>
            <w:tcW w:type="dxa" w:w="4561"/>
          </w:tcPr>
          <w:p>
            <w:r>
              <w:t>[NOMBRE DE LA MÉDICA]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497D"/>
          <w:sz w:val="26"/>
        </w:rPr>
        <w:t>CONTROL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Cambio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Elaboró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Aprobó</w:t>
            </w:r>
          </w:p>
        </w:tc>
      </w:tr>
      <w:tr>
        <w:tc>
          <w:tcPr>
            <w:tcW w:type="dxa" w:w="1824"/>
          </w:tcPr>
          <w:p>
            <w:r>
              <w:t>1.0</w:t>
            </w:r>
          </w:p>
        </w:tc>
        <w:tc>
          <w:tcPr>
            <w:tcW w:type="dxa" w:w="1824"/>
          </w:tcPr>
          <w:p>
            <w:r>
              <w:t>07/06/2026</w:t>
            </w:r>
          </w:p>
        </w:tc>
        <w:tc>
          <w:tcPr>
            <w:tcW w:type="dxa" w:w="1824"/>
          </w:tcPr>
          <w:p>
            <w:r>
              <w:t>Versión inicial</w:t>
            </w:r>
          </w:p>
        </w:tc>
        <w:tc>
          <w:tcPr>
            <w:tcW w:type="dxa" w:w="1824"/>
          </w:tcPr>
          <w:p>
            <w:r>
              <w:t>[NOMBRE DE LA MÉDICA]</w:t>
            </w:r>
          </w:p>
        </w:tc>
        <w:tc>
          <w:tcPr>
            <w:tcW w:type="dxa" w:w="1824"/>
          </w:tcPr>
          <w:p>
            <w:r>
              <w:t>[NOMBRE DE LA MÉDICA]</w:t>
            </w:r>
          </w:p>
        </w:tc>
      </w:tr>
      <w:tr>
        <w:tc>
          <w:tcPr>
            <w:tcW w:type="dxa" w:w="1824"/>
          </w:tcPr>
          <w:p/>
        </w:tc>
        <w:tc>
          <w:tcPr>
            <w:tcW w:type="dxa" w:w="1824"/>
          </w:tcPr>
          <w:p/>
        </w:tc>
        <w:tc>
          <w:tcPr>
            <w:tcW w:type="dxa" w:w="1824"/>
          </w:tcPr>
          <w:p/>
        </w:tc>
        <w:tc>
          <w:tcPr>
            <w:tcW w:type="dxa" w:w="1824"/>
          </w:tcPr>
          <w:p/>
        </w:tc>
        <w:tc>
          <w:tcPr>
            <w:tcW w:type="dxa" w:w="1824"/>
          </w:tcPr>
          <w:p/>
        </w:tc>
      </w:tr>
    </w:tbl>
    <w:p>
      <w:r>
        <w:br w:type="page"/>
      </w:r>
    </w:p>
    <w:p>
      <w:pPr>
        <w:pStyle w:val="Heading1"/>
      </w:pPr>
      <w:r>
        <w:rPr>
          <w:b/>
          <w:color w:val="1F497D"/>
          <w:sz w:val="28"/>
        </w:rPr>
        <w:t>1. OBJETIVO</w:t>
      </w:r>
    </w:p>
    <w:p>
      <w:pPr>
        <w:jc w:val="both"/>
      </w:pPr>
      <w:r>
        <w:rPr>
          <w:rFonts w:ascii="Calibri" w:hAnsi="Calibri"/>
          <w:b w:val="0"/>
          <w:sz w:val="22"/>
        </w:rPr>
        <w:t>Definir el proceso estandarizado y detallado de la consulta de medicina general del Consultorio [NOMBRE DEL CONSULTORIO], desde la recepción del paciente hasta el seguimiento post-consulta, garantizando una atención médica de calidad, segura, humanizada y conforme a las guías de práctica clínica colombianas vigentes y los estándares de habilitación de la Resolución 3100 de 2019.</w:t>
      </w:r>
    </w:p>
    <w:p>
      <w:pPr>
        <w:pStyle w:val="Heading1"/>
      </w:pPr>
      <w:r>
        <w:rPr>
          <w:b/>
          <w:color w:val="1F497D"/>
          <w:sz w:val="28"/>
        </w:rPr>
        <w:t>2. ALCANCE</w:t>
      </w:r>
    </w:p>
    <w:p>
      <w:pPr>
        <w:jc w:val="both"/>
      </w:pPr>
      <w:r>
        <w:rPr>
          <w:rFonts w:ascii="Calibri" w:hAnsi="Calibri"/>
          <w:b w:val="0"/>
          <w:sz w:val="22"/>
        </w:rPr>
        <w:t>Aplica a todas las consultas de medicina general realizadas en el Consultorio [NOMBRE DEL CONSULTORIO] por la Dra. [NOMBRE DE LA MÉDICA]. Cubre los servicios de medicina general: atención de enfermedades agudas, enfermedades crónicas, actividades preventivas, expedición de certificados e incapacidades, y remisión a especialistas.</w:t>
      </w:r>
    </w:p>
    <w:p>
      <w:pPr>
        <w:pStyle w:val="Heading1"/>
      </w:pPr>
      <w:r>
        <w:rPr>
          <w:b/>
          <w:color w:val="1F497D"/>
          <w:sz w:val="28"/>
        </w:rPr>
        <w:t>3. MARCO LEGAL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Resolución 3100 de 2019 - Habilitación del servicio de consulta de medicina general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Resolución 1995 de 1999 - Historia clínica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Resolución 1478 de 2006 - Prescripción de medicamentos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Ley 23 de 1981 - Ética médica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Guías de Práctica Clínica del Ministerio de Salud vigentes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Resolución 0256 de 2016 - Indicadores de calidad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Decreto 1011 de 2006 - SOGCS</w:t>
      </w:r>
    </w:p>
    <w:p>
      <w:pPr>
        <w:pStyle w:val="Heading1"/>
      </w:pPr>
      <w:r>
        <w:rPr>
          <w:b/>
          <w:color w:val="1F497D"/>
          <w:sz w:val="28"/>
        </w:rPr>
        <w:t>4. DESCRIPCIÓN PASO A PASO DEL PROCESO</w:t>
      </w:r>
    </w:p>
    <w:p>
      <w:pPr>
        <w:pStyle w:val="Heading2"/>
      </w:pPr>
      <w:r>
        <w:rPr>
          <w:b/>
          <w:color w:val="2E74B5"/>
          <w:sz w:val="24"/>
        </w:rPr>
        <w:t>4.1 PASO 1: Preparación del Consultorio</w:t>
      </w:r>
    </w:p>
    <w:p>
      <w:pPr>
        <w:jc w:val="both"/>
      </w:pPr>
      <w:r>
        <w:rPr>
          <w:rFonts w:ascii="Calibri" w:hAnsi="Calibri"/>
          <w:b w:val="0"/>
          <w:sz w:val="22"/>
        </w:rPr>
        <w:t>Antes de iniciar la jornada de atención, la médica propietaria verifica: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Lavado de manos o uso de alcohol glicerinado al inicio de la jornada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Verificación del funcionamiento de todos los equipos: tensiómetro, oxímetro, glucómetro, termómetro, otoscopio, oftalmoscopio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Disponibilidad del botiquín de urgencias completo con medicamentos en fecha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Disponibilidad de insumos: guantes, gasas, agujas, jeringas, papel para camilla, desinfectantes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Revisión de la agenda del día: número de pacientes, tipos de consulta, casos especiales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Apertura del sistema de información (software médico o sistema físico de historias clínicas)</w:t>
      </w:r>
    </w:p>
    <w:p>
      <w:pPr>
        <w:pStyle w:val="Heading2"/>
      </w:pPr>
      <w:r>
        <w:rPr>
          <w:b/>
          <w:color w:val="2E74B5"/>
          <w:sz w:val="24"/>
        </w:rPr>
        <w:t>4.2 PASO 2: Recepción e Identificación del Paciente</w:t>
      </w:r>
    </w:p>
    <w:p>
      <w:pPr>
        <w:jc w:val="both"/>
      </w:pPr>
      <w:r>
        <w:rPr>
          <w:rFonts w:ascii="Calibri" w:hAnsi="Calibri"/>
          <w:b w:val="0"/>
          <w:sz w:val="22"/>
        </w:rPr>
        <w:t>La identificación correcta del paciente es una medida fundamental de seguridad (Resolución 0256/2016):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Solicitar al paciente su documento de identidad: CC, TI, CE, pasaporte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Verificar que el nombre y número de documento correspondan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Para pacientes nuevos: diligenciar los datos de identificación completos en la historia clínica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Para pacientes en seguimiento: buscar y verificar la historia clínica existente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Registrar la hora de llegada y el motivo de consulta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Verificar si el paciente tiene alergias conocidas (especialmente a medicamentos) y registrar en la historia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Tomar signos vitales pre-consulta si hay auxiliar de enfermería, o la médica los toma durante la consulta</w:t>
      </w:r>
    </w:p>
    <w:p>
      <w:pPr>
        <w:pStyle w:val="Heading2"/>
      </w:pPr>
      <w:r>
        <w:rPr>
          <w:b/>
          <w:color w:val="2E74B5"/>
          <w:sz w:val="24"/>
        </w:rPr>
        <w:t>4.3 PASO 3: Anamnesis (Historia de la Enfermedad Actual)</w:t>
      </w:r>
    </w:p>
    <w:p>
      <w:pPr>
        <w:jc w:val="both"/>
      </w:pPr>
      <w:r>
        <w:rPr>
          <w:rFonts w:ascii="Calibri" w:hAnsi="Calibri"/>
          <w:b w:val="0"/>
          <w:sz w:val="22"/>
        </w:rPr>
        <w:t>La anamnesis es el elemento más valioso del diagnóstico médico. Se realiza siguiendo el método clínico: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Saludo y presentación de la médica (si es paciente nuevo)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Establecimiento del motivo de consulta en palabras del paciente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Historia de la enfermedad actual: inicio, evolución, localización, calidad, irradiación, intensidad (escala 1-10 para dolor), factores que mejoran/empeoran, síntomas asociados, tratamientos previos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Antecedentes personales patológicos: enfermedades crónicas (HTA, DM, hipotiroidismo, etc.), cirugías, hospitalizaciones previas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Antecedentes farmacológicos: medicamentos actuales (nombre, dosis, frecuencia), alergias medicamentosas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Antecedentes familiares: enfermedades hereditarias relevantes para el motivo de consulta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Antecedentes gineco-obstétricos (para mujeres): FUR, ciclos menstruales, embarazos, anticonceptivos, última citología, mamografía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Hábitos y estilos de vida: tabaquismo, alcohol, actividad física, alimentación, ocupación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Revisión por sistemas: interrogatorio sistemático de los sistemas orgánicos relevantes</w:t>
      </w:r>
    </w:p>
    <w:p>
      <w:pPr>
        <w:pStyle w:val="Heading2"/>
      </w:pPr>
      <w:r>
        <w:rPr>
          <w:b/>
          <w:color w:val="2E74B5"/>
          <w:sz w:val="24"/>
        </w:rPr>
        <w:t>4.4 PASO 4: Examen Físico</w:t>
      </w:r>
    </w:p>
    <w:p>
      <w:pPr>
        <w:jc w:val="both"/>
      </w:pPr>
      <w:r>
        <w:rPr>
          <w:rFonts w:ascii="Calibri" w:hAnsi="Calibri"/>
          <w:b w:val="0"/>
          <w:sz w:val="22"/>
        </w:rPr>
        <w:t>El examen físico se realiza de manera sistemática, con respeto a la dignidad del paciente:</w:t>
      </w:r>
    </w:p>
    <w:p>
      <w:pPr>
        <w:jc w:val="both"/>
      </w:pPr>
      <w:r>
        <w:rPr>
          <w:b/>
          <w:sz w:val="22"/>
        </w:rPr>
        <w:t xml:space="preserve">• Signos vitales: </w:t>
      </w:r>
      <w:r>
        <w:rPr>
          <w:sz w:val="22"/>
        </w:rPr>
        <w:t>Tensión arterial (brazo derecho, con el paciente sentado 5 minutos antes), frecuencia cardíaca, frecuencia respiratoria, temperatura, oximetría de pulso, talla, peso, IMC</w:t>
      </w:r>
    </w:p>
    <w:p>
      <w:pPr>
        <w:jc w:val="both"/>
      </w:pPr>
      <w:r>
        <w:rPr>
          <w:b/>
          <w:sz w:val="22"/>
        </w:rPr>
        <w:t xml:space="preserve">• Examen general: </w:t>
      </w:r>
      <w:r>
        <w:rPr>
          <w:sz w:val="22"/>
        </w:rPr>
        <w:t>Aspecto general, estado de conciencia, orientación, hidratación, coloración de piel y mucosas, facies</w:t>
      </w:r>
    </w:p>
    <w:p>
      <w:pPr>
        <w:jc w:val="both"/>
      </w:pPr>
      <w:r>
        <w:rPr>
          <w:b/>
          <w:sz w:val="22"/>
        </w:rPr>
        <w:t xml:space="preserve">• Piel y faneras: </w:t>
      </w:r>
      <w:r>
        <w:rPr>
          <w:sz w:val="22"/>
        </w:rPr>
        <w:t>Cambios en piel (manchas, lesiones, erupciones), uñas, cabello - especialmente relevante en valoración estética</w:t>
      </w:r>
    </w:p>
    <w:p>
      <w:pPr>
        <w:jc w:val="both"/>
      </w:pPr>
      <w:r>
        <w:rPr>
          <w:b/>
          <w:sz w:val="22"/>
        </w:rPr>
        <w:t xml:space="preserve">• Cabeza y cuello: </w:t>
      </w:r>
      <w:r>
        <w:rPr>
          <w:sz w:val="22"/>
        </w:rPr>
        <w:t>Cráneo, ojos (pupilas, reflejos, agudeza visual básica), oídos (otoscopia), nariz, boca/faringe (amígdalas, mucosa, dientes), cuello (ganglios, tiroides, pulsos carotídeos, ingurgitación yugular)</w:t>
      </w:r>
    </w:p>
    <w:p>
      <w:pPr>
        <w:jc w:val="both"/>
      </w:pPr>
      <w:r>
        <w:rPr>
          <w:b/>
          <w:sz w:val="22"/>
        </w:rPr>
        <w:t xml:space="preserve">• Tórax: </w:t>
      </w:r>
      <w:r>
        <w:rPr>
          <w:sz w:val="22"/>
        </w:rPr>
        <w:t>Inspección (simetría, tipo respiratorio), palpación (expansión, frémito), percusión (matidez, timpanismo), auscultación (murmullo vesicular, ruidos cardíacos: ritmo, tono, soplos)</w:t>
      </w:r>
    </w:p>
    <w:p>
      <w:pPr>
        <w:jc w:val="both"/>
      </w:pPr>
      <w:r>
        <w:rPr>
          <w:b/>
          <w:sz w:val="22"/>
        </w:rPr>
        <w:t xml:space="preserve">• Abdomen: </w:t>
      </w:r>
      <w:r>
        <w:rPr>
          <w:sz w:val="22"/>
        </w:rPr>
        <w:t>Inspección (cicatrices, distensión), auscultación (ruidos intestinales), percusión (timpanismo, matidez hepática/esplénica), palpación superficial y profunda (masa, dolor, visceromegalias), signos de irritación peritoneal</w:t>
      </w:r>
    </w:p>
    <w:p>
      <w:pPr>
        <w:jc w:val="both"/>
      </w:pPr>
      <w:r>
        <w:rPr>
          <w:b/>
          <w:sz w:val="22"/>
        </w:rPr>
        <w:t xml:space="preserve">• Extremidades: </w:t>
      </w:r>
      <w:r>
        <w:rPr>
          <w:sz w:val="22"/>
        </w:rPr>
        <w:t>Pulsos periféricos, edemas (con godet), varices, movilidad articular básica, reflejos osteotendinosos (si indicado)</w:t>
      </w:r>
    </w:p>
    <w:p>
      <w:pPr>
        <w:jc w:val="both"/>
      </w:pPr>
      <w:r>
        <w:rPr>
          <w:b/>
          <w:sz w:val="22"/>
        </w:rPr>
        <w:t xml:space="preserve">• Neurológico básico: </w:t>
      </w:r>
      <w:r>
        <w:rPr>
          <w:sz w:val="22"/>
        </w:rPr>
        <w:t>Estado mental (orientación, memoria reciente), pares craneales básicos (si indicado), coordinación, marcha (si indicado)</w:t>
      </w:r>
    </w:p>
    <w:p>
      <w:pPr>
        <w:jc w:val="both"/>
      </w:pPr>
      <w:r>
        <w:rPr>
          <w:b/>
          <w:sz w:val="22"/>
        </w:rPr>
        <w:t xml:space="preserve">• Examen ginecológico: </w:t>
      </w:r>
      <w:r>
        <w:rPr>
          <w:sz w:val="22"/>
        </w:rPr>
        <w:t>Solo cuando está indicado por el motivo de consulta y con consentimiento explícito de la paciente</w:t>
      </w:r>
    </w:p>
    <w:p>
      <w:pPr>
        <w:pStyle w:val="Heading2"/>
      </w:pPr>
      <w:r>
        <w:rPr>
          <w:b/>
          <w:color w:val="2E74B5"/>
          <w:sz w:val="24"/>
        </w:rPr>
        <w:t>4.5 PASO 5: Diagnóstico e Impresión Diagnóstica</w:t>
      </w:r>
    </w:p>
    <w:p>
      <w:pPr>
        <w:jc w:val="both"/>
      </w:pPr>
      <w:r>
        <w:rPr>
          <w:rFonts w:ascii="Calibri" w:hAnsi="Calibri"/>
          <w:b w:val="0"/>
          <w:sz w:val="22"/>
        </w:rPr>
        <w:t>Con base en la anamnesis y el examen físico, la médica establece el diagnóstico: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Formular la impresión diagnóstica con códigos CIE-10 (Clasificación Internacional de Enfermedades, décima revisión)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Establecer el diagnóstico diferencial cuando corresponda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Determinar si se requieren exámenes complementarios para confirmar el diagnóstico o para descartar diagnósticos diferenciales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Identificar las comorbilidades activas del paciente que impactan el diagnóstico principal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Registrar todo en la historia clínica de manera clara y legible</w:t>
      </w:r>
    </w:p>
    <w:p>
      <w:pPr>
        <w:pStyle w:val="Heading2"/>
      </w:pPr>
      <w:r>
        <w:rPr>
          <w:b/>
          <w:color w:val="2E74B5"/>
          <w:sz w:val="24"/>
        </w:rPr>
        <w:t>4.6 PASO 6: Plan de Manejo</w:t>
      </w:r>
    </w:p>
    <w:p>
      <w:pPr>
        <w:jc w:val="both"/>
      </w:pPr>
      <w:r>
        <w:rPr>
          <w:rFonts w:ascii="Calibri" w:hAnsi="Calibri"/>
          <w:b w:val="0"/>
          <w:sz w:val="22"/>
        </w:rPr>
        <w:t>El plan de manejo es la síntesis de las decisiones terapéuticas para el paciente:</w:t>
      </w:r>
    </w:p>
    <w:p>
      <w:pPr>
        <w:pStyle w:val="Heading3"/>
      </w:pPr>
      <w:r>
        <w:rPr>
          <w:b/>
          <w:color w:val="4472C4"/>
          <w:sz w:val="22"/>
        </w:rPr>
        <w:t>4.6.1 Prescripción de Medicamentos (Resolución 1478 de 2006)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La receta médica debe contener: lugar y fecha de expedición, nombre del paciente y documento de identidad, nombre del medicamento (DCI o genérico preferiblemente), presentación farmacéutica, dosis, vía de administración, frecuencia, duración del tratamiento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Firma y sello de la médica con tarjeta profesional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Para medicamentos controlados: usar receta especial según normativa de la Resolución 1478/2006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Explicar al paciente la forma de tomar los medicamentos, efectos secundarios frecuentes y signos de alarma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Verificar alergias antes de prescribir</w:t>
      </w:r>
    </w:p>
    <w:p>
      <w:pPr>
        <w:pStyle w:val="Heading3"/>
      </w:pPr>
      <w:r>
        <w:rPr>
          <w:b/>
          <w:color w:val="4472C4"/>
          <w:sz w:val="22"/>
        </w:rPr>
        <w:t>4.6.2 Órdenes de Exámenes</w:t>
      </w:r>
    </w:p>
    <w:p>
      <w:pPr>
        <w:jc w:val="both"/>
      </w:pPr>
      <w:r>
        <w:rPr>
          <w:rFonts w:ascii="Calibri" w:hAnsi="Calibri"/>
          <w:b w:val="0"/>
          <w:sz w:val="22"/>
        </w:rPr>
        <w:t>Las órdenes de exámenes deben indicar: nombre del paciente, documento, tipo de examen solicitado, diagnóstico presuntivo (código CIE-10), indicación clínica, datos de la médica (nombre, TP), firma y sello. Se explica al paciente las indicaciones de preparación para los exámenes.</w:t>
      </w:r>
    </w:p>
    <w:p>
      <w:pPr>
        <w:pStyle w:val="Heading3"/>
      </w:pPr>
      <w:r>
        <w:rPr>
          <w:b/>
          <w:color w:val="4472C4"/>
          <w:sz w:val="22"/>
        </w:rPr>
        <w:t>4.6.3 Incapacidades Médicas</w:t>
      </w:r>
    </w:p>
    <w:p>
      <w:pPr>
        <w:jc w:val="both"/>
      </w:pPr>
      <w:r>
        <w:rPr>
          <w:rFonts w:ascii="Calibri" w:hAnsi="Calibri"/>
          <w:b w:val="0"/>
          <w:sz w:val="22"/>
        </w:rPr>
        <w:t>La incapacidad médica debe ser expedida solo cuando hay justificación clínica real. Debe contener: nombre del paciente, documento, diagnóstico (CIE-10), número de días de incapacidad, fecha de inicio y fin, actividades que puede o no puede realizar, datos del médico, firma y sello. La incapacidad no puede extenderse más allá de lo clínicamente justificado.</w:t>
      </w:r>
    </w:p>
    <w:p>
      <w:pPr>
        <w:pStyle w:val="Heading3"/>
      </w:pPr>
      <w:r>
        <w:rPr>
          <w:b/>
          <w:color w:val="4472C4"/>
          <w:sz w:val="22"/>
        </w:rPr>
        <w:t>4.6.4 Remisión a Especialistas (PRO-RCR-001)</w:t>
      </w:r>
    </w:p>
    <w:p>
      <w:pPr>
        <w:jc w:val="both"/>
      </w:pPr>
      <w:r>
        <w:rPr>
          <w:rFonts w:ascii="Calibri" w:hAnsi="Calibri"/>
          <w:b w:val="0"/>
          <w:sz w:val="22"/>
        </w:rPr>
        <w:t>Se remite al paciente cuando el motivo de consulta requiere atención especializada o de mayor complejidad. La remisión se realiza siguiendo el proceso de referencia establecido en MAN-RCR-001.</w:t>
      </w:r>
    </w:p>
    <w:p>
      <w:pPr>
        <w:pStyle w:val="Heading2"/>
      </w:pPr>
      <w:r>
        <w:rPr>
          <w:b/>
          <w:color w:val="2E74B5"/>
          <w:sz w:val="24"/>
        </w:rPr>
        <w:t>4.7 PASO 7: Educación al Paciente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Explicar en lenguaje sencillo el diagnóstico y lo que significa para el paciente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Instruir sobre el régimen de tratamiento: medicamentos, medidas no farmacológicas, cambios en el estilo de vida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Informar sobre los signos de alarma que requieren consulta de urgencias inmediata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Promover hábitos de vida saludables relevantes para la condición del paciente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Resolver las dudas del paciente antes de terminar la consulta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Verificar que el paciente comprendió las instrucciones (técnica de retroinformación: pedir al paciente que repita las instrucciones clave)</w:t>
      </w:r>
    </w:p>
    <w:p>
      <w:pPr>
        <w:pStyle w:val="Heading2"/>
      </w:pPr>
      <w:r>
        <w:rPr>
          <w:b/>
          <w:color w:val="2E74B5"/>
          <w:sz w:val="24"/>
        </w:rPr>
        <w:t>4.8 PASO 8: Cierre de la Consulta y Registro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Completar el registro de la historia clínica con todos los elementos requeridos por la Resolución 1995/1999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Registrar: fecha y hora de la consulta, motivo de consulta, anamnesis relevante, hallazgos del examen físico, diagnóstico(s) con código CIE-10, plan de manejo, medicamentos prescritos, exámenes solicitados, remisiones, próxima cita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Firma de la médica en la historia clínica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Cobro del servicio y entrega de recibo/factura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Agendamiento de la cita de control si es necesario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Acompañar al paciente hasta la salida con amabilidad</w:t>
      </w:r>
    </w:p>
    <w:p>
      <w:pPr>
        <w:pStyle w:val="Heading1"/>
      </w:pPr>
      <w:r>
        <w:rPr>
          <w:b/>
          <w:color w:val="1F497D"/>
          <w:sz w:val="28"/>
        </w:rPr>
        <w:t>5. ACTIVIDADES PREVENTIVAS EN CONSULTA (DYPE)</w:t>
      </w:r>
    </w:p>
    <w:p>
      <w:pPr>
        <w:jc w:val="both"/>
      </w:pPr>
      <w:r>
        <w:rPr>
          <w:rFonts w:ascii="Calibri" w:hAnsi="Calibri"/>
          <w:b w:val="0"/>
          <w:sz w:val="22"/>
        </w:rPr>
        <w:t>En cada consulta, la médica aprovecha la oportunidad para realizar actividades de Detección Temprana y Protección Específica (DYPE) según la edad y el género del paciente:</w:t>
      </w:r>
    </w:p>
    <w:p>
      <w:pPr>
        <w:jc w:val="both"/>
      </w:pPr>
      <w:r>
        <w:rPr>
          <w:b/>
          <w:sz w:val="22"/>
        </w:rPr>
        <w:t xml:space="preserve">• Adultos ≥18 años: </w:t>
      </w:r>
      <w:r>
        <w:rPr>
          <w:sz w:val="22"/>
        </w:rPr>
        <w:t>Control de presión arterial (mínimo anual), toma de talla y peso (IMC), glicemia en ayunas (mínimo cada 3 años en &gt;35 años), perfil lipídico</w:t>
      </w:r>
    </w:p>
    <w:p>
      <w:pPr>
        <w:jc w:val="both"/>
      </w:pPr>
      <w:r>
        <w:rPr>
          <w:b/>
          <w:sz w:val="22"/>
        </w:rPr>
        <w:t xml:space="preserve">• Mujeres 25-65 años: </w:t>
      </w:r>
      <w:r>
        <w:rPr>
          <w:sz w:val="22"/>
        </w:rPr>
        <w:t>Recordar vigencia de citología cervicovaginal, autoexamen de mama, mamografía (≥50 años cada 2 años)</w:t>
      </w:r>
    </w:p>
    <w:p>
      <w:pPr>
        <w:jc w:val="both"/>
      </w:pPr>
      <w:r>
        <w:rPr>
          <w:b/>
          <w:sz w:val="22"/>
        </w:rPr>
        <w:t xml:space="preserve">• Adultos ≥40 años: </w:t>
      </w:r>
      <w:r>
        <w:rPr>
          <w:sz w:val="22"/>
        </w:rPr>
        <w:t>Tamizaje de cáncer colorrectal (sangre oculta en heces, colonoscopia según riesgo), glaucoma</w:t>
      </w:r>
    </w:p>
    <w:p>
      <w:pPr>
        <w:jc w:val="both"/>
      </w:pPr>
      <w:r>
        <w:rPr>
          <w:b/>
          <w:sz w:val="22"/>
        </w:rPr>
        <w:t xml:space="preserve">• Vacunación: </w:t>
      </w:r>
      <w:r>
        <w:rPr>
          <w:sz w:val="22"/>
        </w:rPr>
        <w:t>Verificar vigencia del esquema PAI: tétanos (refuerzo cada 10 años), hepatitis B, influenza anual</w:t>
      </w:r>
    </w:p>
    <w:p>
      <w:pPr>
        <w:pStyle w:val="Heading1"/>
      </w:pPr>
      <w:r>
        <w:rPr>
          <w:b/>
          <w:color w:val="1F497D"/>
          <w:sz w:val="28"/>
        </w:rPr>
        <w:t>6. INDICADORES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Fórmula</w:t>
            </w:r>
          </w:p>
        </w:tc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Frecuencia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Calidad de historia clínica (HC completas)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(HC con todos los campos requeridos/Total HC auditadas)×100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≥95%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Satisfacción del paciente en consulta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(Pacientes satisfechos/Total encuestados)×100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≥90%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% consultas con diagnóstico CIE-10 registrado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(Consultas con CIE-10/Total consultas)×100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% pacientes con plan de manejo documentado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(Pacientes con plan/Total consultas)×100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Tasa de eventos adversos en consulta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N° eventos adversos/100 consultas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&lt;1%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ELABORÓ</w:t>
            </w:r>
          </w:p>
        </w:tc>
        <w:tc>
          <w:tcPr>
            <w:tcW w:type="dxa" w:w="304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REVISÓ</w:t>
            </w:r>
          </w:p>
        </w:tc>
        <w:tc>
          <w:tcPr>
            <w:tcW w:type="dxa" w:w="304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APROBÓ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[NOMBRE DE LA MÉDICA]</w:t>
              <w:br/>
              <w:t>Médica General - Propietaria</w:t>
              <w:br/>
              <w:br/>
              <w:t>Firma: _________________________</w:t>
              <w:br/>
              <w:br/>
              <w:t>Fecha: 07/06/2026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[NOMBRE DE LA MÉDICA]</w:t>
              <w:br/>
              <w:t>Médica General - Propietaria</w:t>
              <w:br/>
              <w:br/>
              <w:t>Firma: _________________________</w:t>
              <w:br/>
              <w:br/>
              <w:t>Fecha: 07/06/2026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[NOMBRE DE LA MÉDICA]</w:t>
              <w:br/>
              <w:t>Médica General - Propietaria</w:t>
              <w:br/>
              <w:br/>
              <w:t>Firma: _________________________</w:t>
              <w:br/>
              <w:br/>
              <w:t>Fecha: 07/06/2026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PRO-PP-001 - V1.0 - 07/06/2026 | Pág. </w:t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404040"/>
        <w:sz w:val="16"/>
      </w:rPr>
      <w:t>CONSULTORIO [NOMBRE DEL CONSULTORIO]  |  PRO-PP-001  |  Proceso de Consulta de Medicina General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